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eastAsia="方正小标宋简体"/>
          <w:b/>
          <w:bCs/>
          <w:color w:val="000000"/>
          <w:sz w:val="44"/>
          <w:szCs w:val="44"/>
          <w:lang w:eastAsia="zh-CN"/>
        </w:rPr>
        <w:t>平顶山市城市管理局（市城市综合执法局）</w:t>
      </w: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关于开展2020年“安全生产月”活动的通知</w:t>
      </w:r>
    </w:p>
    <w:p>
      <w:pPr>
        <w:jc w:val="center"/>
        <w:rPr>
          <w:rFonts w:hint="eastAsia" w:ascii="方正小标宋简体" w:hAnsi="方正小标宋简体" w:eastAsia="方正小标宋简体" w:cs="方正小标宋简体"/>
          <w:b/>
          <w:bCs/>
          <w:sz w:val="40"/>
          <w:szCs w:val="48"/>
          <w:lang w:val="en-US" w:eastAsia="zh-CN"/>
        </w:rPr>
      </w:pP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局机关科室，局属各单位，市区各相关企业：</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今年6月是第19个全国“安全生产月”，按照</w:t>
      </w:r>
      <w:r>
        <w:rPr>
          <w:rFonts w:hint="eastAsia" w:ascii="仿宋" w:hAnsi="仿宋" w:eastAsia="仿宋" w:cs="仿宋"/>
          <w:sz w:val="32"/>
          <w:szCs w:val="32"/>
          <w:lang w:eastAsia="zh-CN"/>
        </w:rPr>
        <w:t>省住建厅</w:t>
      </w:r>
      <w:r>
        <w:rPr>
          <w:rFonts w:eastAsia="仿宋_GB2312"/>
          <w:color w:val="000000"/>
          <w:sz w:val="32"/>
          <w:szCs w:val="32"/>
        </w:rPr>
        <w:t>《关于开展</w:t>
      </w:r>
      <w:r>
        <w:rPr>
          <w:rFonts w:hint="eastAsia" w:ascii="仿宋" w:hAnsi="仿宋" w:eastAsia="仿宋" w:cs="仿宋"/>
          <w:color w:val="000000"/>
          <w:sz w:val="32"/>
          <w:szCs w:val="32"/>
        </w:rPr>
        <w:t>2020年“安全生产月”活动的通知》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豫建明电〔2020〕7号</w:t>
      </w:r>
      <w:r>
        <w:rPr>
          <w:rFonts w:hint="eastAsia" w:ascii="仿宋" w:hAnsi="仿宋" w:eastAsia="仿宋" w:cs="仿宋"/>
          <w:color w:val="000000"/>
          <w:sz w:val="32"/>
          <w:szCs w:val="32"/>
          <w:lang w:eastAsia="zh-CN"/>
        </w:rPr>
        <w:t>）要求</w:t>
      </w:r>
      <w:r>
        <w:rPr>
          <w:rFonts w:hint="eastAsia" w:ascii="仿宋" w:hAnsi="仿宋" w:eastAsia="仿宋" w:cs="仿宋"/>
          <w:sz w:val="32"/>
          <w:szCs w:val="32"/>
        </w:rPr>
        <w:t>，</w:t>
      </w:r>
      <w:r>
        <w:rPr>
          <w:rFonts w:hint="eastAsia" w:ascii="仿宋" w:hAnsi="仿宋" w:eastAsia="仿宋" w:cs="仿宋"/>
          <w:sz w:val="32"/>
          <w:szCs w:val="32"/>
          <w:lang w:eastAsia="zh-CN"/>
        </w:rPr>
        <w:t>结合《平顶山市城市管理局（城市综合执法局）关于印发《2020年城市管理安全生产工作要点的通知》（平城管发</w:t>
      </w:r>
      <w:r>
        <w:rPr>
          <w:rFonts w:hint="eastAsia" w:ascii="仿宋" w:hAnsi="仿宋" w:eastAsia="仿宋" w:cs="仿宋"/>
          <w:color w:val="000000"/>
          <w:sz w:val="32"/>
          <w:szCs w:val="32"/>
        </w:rPr>
        <w:t>〔2020〕</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7号</w:t>
      </w:r>
      <w:r>
        <w:rPr>
          <w:rFonts w:hint="eastAsia" w:ascii="仿宋" w:hAnsi="仿宋" w:eastAsia="仿宋" w:cs="仿宋"/>
          <w:sz w:val="32"/>
          <w:szCs w:val="32"/>
          <w:lang w:eastAsia="zh-CN"/>
        </w:rPr>
        <w:t>），全系统要认真做好</w:t>
      </w:r>
      <w:r>
        <w:rPr>
          <w:rFonts w:hint="eastAsia" w:ascii="仿宋" w:hAnsi="仿宋" w:eastAsia="仿宋" w:cs="仿宋"/>
          <w:sz w:val="32"/>
          <w:szCs w:val="32"/>
          <w:lang w:val="en-US" w:eastAsia="zh-CN"/>
        </w:rPr>
        <w:t>2020年城市管理局安全生产月工作，</w:t>
      </w:r>
      <w:r>
        <w:rPr>
          <w:rFonts w:hint="eastAsia" w:ascii="仿宋" w:hAnsi="仿宋" w:eastAsia="仿宋" w:cs="仿宋"/>
          <w:sz w:val="32"/>
          <w:szCs w:val="32"/>
        </w:rPr>
        <w:t>现</w:t>
      </w:r>
      <w:r>
        <w:rPr>
          <w:rFonts w:hint="eastAsia" w:ascii="仿宋" w:hAnsi="仿宋" w:eastAsia="仿宋" w:cs="仿宋"/>
          <w:sz w:val="32"/>
          <w:szCs w:val="32"/>
          <w:lang w:eastAsia="zh-CN"/>
        </w:rPr>
        <w:t>将</w:t>
      </w:r>
      <w:r>
        <w:rPr>
          <w:rFonts w:hint="eastAsia" w:ascii="仿宋" w:hAnsi="仿宋" w:eastAsia="仿宋" w:cs="仿宋"/>
          <w:sz w:val="32"/>
          <w:szCs w:val="32"/>
        </w:rPr>
        <w:t>有关事项通知如下：</w:t>
      </w:r>
    </w:p>
    <w:p>
      <w:pPr>
        <w:numPr>
          <w:ilvl w:val="0"/>
          <w:numId w:val="1"/>
        </w:numPr>
        <w:bidi w:val="0"/>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指导思想</w:t>
      </w:r>
    </w:p>
    <w:p>
      <w:pPr>
        <w:numPr>
          <w:ilvl w:val="0"/>
          <w:numId w:val="0"/>
        </w:numPr>
        <w:bidi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以习近平新时代中国特色社会主义思想为指导，认真宣传贯彻党的十九大和十九届二中、三中、四中全会精神，深入学习宣传习近平总书记关于安全生产的重要论述精神，贯彻落实党中央、省、市关于安全生产的工作部署，着眼加强疫情防控常态化条件下的安全生产和专项整治三年行动排查整治工作，推动城市管理系统树牢安全发展理念，坚持“生命至上、安全第一”，以从根本上消除事故隐患为目的，压紧压实安全生产责任，深入排查安全风险隐患，扎实推进问题整改，坚决遏制重特大事故发生，切实维护人民群众生命财产安全，通过开展教育培训、隐患曝光、问题整改、经验推广、案例警示，监督举报、知识普及等宣传教育活动，增强全民安全意识，提升公众安全素质，推动全市城市管理系统安全生产水平提升和安全生产形势持续稳定。</w:t>
      </w:r>
    </w:p>
    <w:p>
      <w:pPr>
        <w:numPr>
          <w:ilvl w:val="0"/>
          <w:numId w:val="1"/>
        </w:numPr>
        <w:bidi w:val="0"/>
        <w:ind w:left="0" w:leftChars="0"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活动主题</w:t>
      </w:r>
    </w:p>
    <w:p>
      <w:pPr>
        <w:numPr>
          <w:ilvl w:val="0"/>
          <w:numId w:val="0"/>
        </w:numPr>
        <w:bidi w:val="0"/>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消除事故隐患，筑牢安全防线</w:t>
      </w:r>
    </w:p>
    <w:p>
      <w:pPr>
        <w:bidi w:val="0"/>
        <w:ind w:firstLine="640"/>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活动时间</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6月1日至6月30日</w:t>
      </w:r>
    </w:p>
    <w:p>
      <w:pPr>
        <w:bidi w:val="0"/>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活动主要内容</w:t>
      </w:r>
    </w:p>
    <w:p>
      <w:pPr>
        <w:wordWrap w:val="0"/>
        <w:ind w:firstLine="643" w:firstLineChars="200"/>
        <w:rPr>
          <w:rFonts w:hint="eastAsia" w:ascii="仿宋" w:hAnsi="仿宋" w:eastAsia="仿宋" w:cs="仿宋"/>
          <w:color w:val="000000"/>
          <w:sz w:val="32"/>
          <w:szCs w:val="32"/>
          <w:lang w:eastAsia="zh-CN"/>
        </w:rPr>
      </w:pPr>
      <w:r>
        <w:rPr>
          <w:rFonts w:hint="eastAsia" w:ascii="楷体" w:hAnsi="楷体" w:eastAsia="楷体" w:cs="楷体"/>
          <w:b/>
          <w:bCs/>
          <w:sz w:val="32"/>
          <w:szCs w:val="32"/>
        </w:rPr>
        <w:t>（一）开展贯彻落实习近平总书记关于安全生产重要论述主题宣讲活动。</w:t>
      </w:r>
      <w:r>
        <w:rPr>
          <w:rFonts w:hint="eastAsia" w:ascii="仿宋" w:hAnsi="仿宋" w:eastAsia="仿宋" w:cs="仿宋"/>
          <w:b/>
          <w:bCs/>
          <w:color w:val="000000"/>
          <w:sz w:val="32"/>
          <w:szCs w:val="32"/>
        </w:rPr>
        <w:t>一是</w:t>
      </w:r>
      <w:r>
        <w:rPr>
          <w:rFonts w:hint="eastAsia" w:ascii="仿宋" w:hAnsi="仿宋" w:eastAsia="仿宋" w:cs="仿宋"/>
          <w:color w:val="000000"/>
          <w:sz w:val="32"/>
          <w:szCs w:val="32"/>
          <w:lang w:eastAsia="zh-CN"/>
        </w:rPr>
        <w:t>局属各单位、市区各相关企业</w:t>
      </w:r>
      <w:r>
        <w:rPr>
          <w:rFonts w:hint="eastAsia" w:ascii="仿宋" w:hAnsi="仿宋" w:eastAsia="仿宋" w:cs="仿宋"/>
          <w:color w:val="000000"/>
          <w:sz w:val="32"/>
          <w:szCs w:val="32"/>
        </w:rPr>
        <w:t>要安排理论中心组专题学习。把习近平总书记重要论述纳入各层级干部</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安全监管人员培训重要内容，不断深化思想认识，提升政治站位，增强践行习近平总书记关于安全生产重要论述的思想自觉和行动自觉。</w:t>
      </w:r>
      <w:r>
        <w:rPr>
          <w:rFonts w:hint="eastAsia" w:ascii="仿宋" w:hAnsi="仿宋" w:eastAsia="仿宋" w:cs="仿宋"/>
          <w:b/>
          <w:bCs/>
          <w:color w:val="000000"/>
          <w:sz w:val="32"/>
          <w:szCs w:val="32"/>
        </w:rPr>
        <w:t>二是</w:t>
      </w:r>
      <w:r>
        <w:rPr>
          <w:rFonts w:hint="eastAsia" w:ascii="仿宋" w:hAnsi="仿宋" w:eastAsia="仿宋" w:cs="仿宋"/>
          <w:color w:val="000000"/>
          <w:sz w:val="32"/>
          <w:szCs w:val="32"/>
        </w:rPr>
        <w:t>在全行业组织开展“专家讲安全”网上课堂活动，邀请行业内权威专家</w:t>
      </w:r>
      <w:r>
        <w:rPr>
          <w:rFonts w:hint="eastAsia" w:ascii="仿宋" w:hAnsi="仿宋" w:eastAsia="仿宋" w:cs="仿宋"/>
          <w:color w:val="000000"/>
          <w:sz w:val="32"/>
          <w:szCs w:val="32"/>
          <w:lang w:eastAsia="zh-CN"/>
        </w:rPr>
        <w:t>授课</w:t>
      </w:r>
      <w:r>
        <w:rPr>
          <w:rFonts w:hint="eastAsia" w:ascii="仿宋" w:hAnsi="仿宋" w:eastAsia="仿宋" w:cs="仿宋"/>
          <w:color w:val="000000"/>
          <w:sz w:val="32"/>
          <w:szCs w:val="32"/>
        </w:rPr>
        <w:t>，开展线上线下宣讲活动，组织干部职工认真收听收看“安全生产大家谈”云课堂</w:t>
      </w:r>
      <w:r>
        <w:rPr>
          <w:rFonts w:hint="eastAsia" w:ascii="仿宋" w:hAnsi="仿宋" w:eastAsia="仿宋" w:cs="仿宋"/>
          <w:color w:val="000000"/>
          <w:sz w:val="32"/>
          <w:szCs w:val="32"/>
          <w:lang w:eastAsia="zh-CN"/>
        </w:rPr>
        <w:t>；</w:t>
      </w:r>
      <w:r>
        <w:rPr>
          <w:rFonts w:hint="eastAsia" w:ascii="仿宋" w:hAnsi="仿宋" w:eastAsia="仿宋" w:cs="仿宋"/>
          <w:b w:val="0"/>
          <w:bCs w:val="0"/>
          <w:sz w:val="32"/>
          <w:szCs w:val="32"/>
          <w:lang w:val="en-US" w:eastAsia="zh-CN"/>
        </w:rPr>
        <w:t>局机关科室、局属各单位、市区各相关企业的</w:t>
      </w:r>
      <w:r>
        <w:rPr>
          <w:rFonts w:hint="eastAsia" w:ascii="仿宋" w:hAnsi="仿宋" w:eastAsia="仿宋" w:cs="仿宋"/>
          <w:color w:val="000000"/>
          <w:sz w:val="32"/>
          <w:szCs w:val="32"/>
        </w:rPr>
        <w:t>主要负责同志要带头宣讲，深入宣传习近平总书记关于安全生产的重要论述精神。</w:t>
      </w:r>
      <w:r>
        <w:rPr>
          <w:rFonts w:hint="eastAsia" w:ascii="仿宋" w:hAnsi="仿宋" w:eastAsia="仿宋" w:cs="仿宋"/>
          <w:b/>
          <w:bCs/>
          <w:color w:val="000000"/>
          <w:sz w:val="32"/>
          <w:szCs w:val="32"/>
        </w:rPr>
        <w:t>三是</w:t>
      </w:r>
      <w:r>
        <w:rPr>
          <w:rFonts w:hint="eastAsia" w:ascii="仿宋" w:hAnsi="仿宋" w:eastAsia="仿宋" w:cs="仿宋"/>
          <w:color w:val="000000"/>
          <w:sz w:val="32"/>
          <w:szCs w:val="32"/>
        </w:rPr>
        <w:t>组织开展对话谈心活动，宣传习近平总书记关于安全生产重要论述及安全生产相关法律法规政策，强化安全生产责任措施落实。</w:t>
      </w:r>
      <w:r>
        <w:rPr>
          <w:rFonts w:hint="eastAsia" w:ascii="仿宋" w:hAnsi="仿宋" w:eastAsia="仿宋" w:cs="仿宋"/>
          <w:color w:val="000000"/>
          <w:sz w:val="32"/>
          <w:szCs w:val="32"/>
          <w:lang w:eastAsia="zh-CN"/>
        </w:rPr>
        <w:t>（牵头单位：局人事科；责任单位：</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color w:val="000000"/>
          <w:sz w:val="32"/>
          <w:szCs w:val="32"/>
          <w:lang w:eastAsia="zh-CN"/>
        </w:rPr>
        <w:t>）</w:t>
      </w:r>
    </w:p>
    <w:p>
      <w:pPr>
        <w:bidi w:val="0"/>
        <w:ind w:firstLine="643" w:firstLineChars="200"/>
        <w:rPr>
          <w:rFonts w:hint="eastAsia" w:ascii="仿宋" w:hAnsi="仿宋" w:eastAsia="仿宋" w:cs="仿宋"/>
          <w:sz w:val="32"/>
          <w:szCs w:val="32"/>
          <w:lang w:val="en-US" w:eastAsia="zh-CN"/>
        </w:rPr>
      </w:pPr>
      <w:r>
        <w:rPr>
          <w:rFonts w:hint="eastAsia" w:ascii="楷体" w:hAnsi="楷体" w:eastAsia="楷体" w:cs="楷体"/>
          <w:b/>
          <w:bCs/>
          <w:sz w:val="32"/>
          <w:szCs w:val="32"/>
        </w:rPr>
        <w:t>（二）</w:t>
      </w:r>
      <w:r>
        <w:rPr>
          <w:rFonts w:hint="eastAsia" w:ascii="楷体" w:hAnsi="楷体" w:eastAsia="楷体" w:cs="楷体"/>
          <w:b/>
          <w:bCs/>
          <w:sz w:val="32"/>
          <w:szCs w:val="32"/>
          <w:lang w:eastAsia="zh-CN"/>
        </w:rPr>
        <w:t>营造“安全生产月”活动氛围</w:t>
      </w:r>
      <w:r>
        <w:rPr>
          <w:rFonts w:hint="eastAsia" w:ascii="楷体" w:hAnsi="楷体" w:eastAsia="楷体" w:cs="楷体"/>
          <w:b/>
          <w:bCs/>
          <w:sz w:val="32"/>
          <w:szCs w:val="32"/>
        </w:rPr>
        <w:t>。</w:t>
      </w:r>
      <w:r>
        <w:rPr>
          <w:rFonts w:hint="eastAsia" w:ascii="仿宋" w:hAnsi="仿宋" w:eastAsia="仿宋" w:cs="仿宋"/>
          <w:sz w:val="32"/>
          <w:szCs w:val="32"/>
          <w:lang w:eastAsia="zh-CN"/>
        </w:rPr>
        <w:t>围绕“消除事故隐患、筑牢安全防线”活动主题，结合行业特点和常态化疫情防控实际，局属</w:t>
      </w:r>
      <w:r>
        <w:rPr>
          <w:rFonts w:hint="eastAsia" w:ascii="仿宋" w:hAnsi="仿宋" w:eastAsia="仿宋" w:cs="仿宋"/>
          <w:color w:val="000000"/>
          <w:sz w:val="32"/>
          <w:szCs w:val="32"/>
          <w:lang w:eastAsia="zh-CN"/>
        </w:rPr>
        <w:t>各单位、市区各相关企业</w:t>
      </w:r>
      <w:r>
        <w:rPr>
          <w:rFonts w:hint="eastAsia" w:ascii="仿宋" w:hAnsi="仿宋" w:eastAsia="仿宋" w:cs="仿宋"/>
          <w:sz w:val="32"/>
          <w:szCs w:val="32"/>
          <w:lang w:eastAsia="zh-CN"/>
        </w:rPr>
        <w:t>应制定本单位的“安全生产月”活动具体实施方案，并监督落实。局市容秩序科、执法支队应督促沿街商户、广告单位使用</w:t>
      </w:r>
      <w:r>
        <w:rPr>
          <w:rFonts w:hint="eastAsia" w:ascii="仿宋" w:hAnsi="仿宋" w:eastAsia="仿宋" w:cs="仿宋"/>
          <w:sz w:val="32"/>
          <w:szCs w:val="32"/>
          <w:lang w:val="en-US" w:eastAsia="zh-CN"/>
        </w:rPr>
        <w:t>LED电子显示屏滚动播放安全生产宣传字幕，积极营造安全生产月的舆论氛围。（牵头单位：局市容秩序管理科、执法支队；责任单位：</w:t>
      </w:r>
      <w:r>
        <w:rPr>
          <w:rFonts w:hint="eastAsia" w:ascii="仿宋" w:hAnsi="仿宋" w:eastAsia="仿宋" w:cs="仿宋"/>
          <w:color w:val="000000"/>
          <w:sz w:val="32"/>
          <w:szCs w:val="32"/>
          <w:lang w:eastAsia="zh-CN"/>
        </w:rPr>
        <w:t>局属各单位、市区各相关企业</w:t>
      </w:r>
      <w:r>
        <w:rPr>
          <w:rFonts w:hint="eastAsia" w:ascii="仿宋" w:hAnsi="仿宋" w:eastAsia="仿宋" w:cs="仿宋"/>
          <w:sz w:val="32"/>
          <w:szCs w:val="32"/>
          <w:lang w:val="en-US" w:eastAsia="zh-CN"/>
        </w:rPr>
        <w:t>）</w:t>
      </w:r>
    </w:p>
    <w:p>
      <w:pPr>
        <w:bidi w:val="0"/>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rPr>
        <w:t>（三）</w:t>
      </w:r>
      <w:r>
        <w:rPr>
          <w:rFonts w:hint="eastAsia" w:ascii="楷体" w:hAnsi="楷体" w:eastAsia="楷体" w:cs="楷体"/>
          <w:b/>
          <w:bCs/>
          <w:sz w:val="32"/>
          <w:szCs w:val="32"/>
          <w:lang w:eastAsia="zh-CN"/>
        </w:rPr>
        <w:t>开设“安全生产月”线上活动专栏</w:t>
      </w:r>
      <w:r>
        <w:rPr>
          <w:rFonts w:hint="eastAsia" w:ascii="楷体" w:hAnsi="楷体" w:eastAsia="楷体" w:cs="楷体"/>
          <w:b/>
          <w:bCs/>
          <w:sz w:val="32"/>
          <w:szCs w:val="32"/>
        </w:rPr>
        <w:t>。</w:t>
      </w:r>
      <w:r>
        <w:rPr>
          <w:rFonts w:hint="eastAsia" w:ascii="仿宋" w:hAnsi="仿宋" w:eastAsia="仿宋" w:cs="仿宋"/>
          <w:sz w:val="32"/>
          <w:szCs w:val="32"/>
          <w:lang w:eastAsia="zh-CN"/>
        </w:rPr>
        <w:t>在报纸、网络、客户端、微信公众号等平台开设专题专栏，在公园、游园、广场、河道、水气热服务营业厅等地方设置专题展板，全面宣传“安全生产月”活动。在市城管局网站开设“安全生产月”活动专栏，设置“安全微视频”“安全咨询窗”“安全云课堂”等专题，宣传法律法规和安全知识，推广先进经验做法，曝光隐患问题。（牵头单位：局办公室；责任单位：</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lang w:eastAsia="zh-CN"/>
        </w:rPr>
        <w:t>）</w:t>
      </w:r>
    </w:p>
    <w:p>
      <w:pPr>
        <w:bidi w:val="0"/>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rPr>
        <w:t>（四）开展“排查整治进行时”专题活动。</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rPr>
        <w:t>要结合全省住房城乡建设系统安全生产专项整治三年行动动员部署会议精神，按照</w:t>
      </w:r>
      <w:r>
        <w:rPr>
          <w:rFonts w:hint="eastAsia" w:ascii="仿宋" w:hAnsi="仿宋" w:eastAsia="仿宋" w:cs="仿宋"/>
          <w:sz w:val="32"/>
          <w:szCs w:val="32"/>
          <w:lang w:eastAsia="zh-CN"/>
        </w:rPr>
        <w:t>《平顶山市城市管理局（城市综合执法局）关于印发《2020年城市管理安全生产工作要点的通知》（平城管发</w:t>
      </w:r>
      <w:r>
        <w:rPr>
          <w:rFonts w:hint="eastAsia" w:ascii="仿宋" w:hAnsi="仿宋" w:eastAsia="仿宋" w:cs="仿宋"/>
          <w:color w:val="000000"/>
          <w:sz w:val="32"/>
          <w:szCs w:val="32"/>
        </w:rPr>
        <w:t>〔2020〕</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7号</w:t>
      </w:r>
      <w:r>
        <w:rPr>
          <w:rFonts w:hint="eastAsia" w:ascii="仿宋" w:hAnsi="仿宋" w:eastAsia="仿宋" w:cs="仿宋"/>
          <w:sz w:val="32"/>
          <w:szCs w:val="32"/>
          <w:lang w:eastAsia="zh-CN"/>
        </w:rPr>
        <w:t>）</w:t>
      </w:r>
      <w:r>
        <w:rPr>
          <w:rFonts w:hint="eastAsia" w:ascii="仿宋" w:hAnsi="仿宋" w:eastAsia="仿宋" w:cs="仿宋"/>
          <w:sz w:val="32"/>
          <w:szCs w:val="32"/>
        </w:rPr>
        <w:t>中明确的工作任务，在“安全生产月”期间组织开展“排查整治进行时”专题活动，统筹推进安全隐患排查和安全专项治理行动。要对排查整治工作广泛宣传发动，持续深入推进，及时报道成效。</w:t>
      </w:r>
      <w:r>
        <w:rPr>
          <w:rFonts w:hint="eastAsia" w:ascii="仿宋" w:hAnsi="仿宋" w:eastAsia="仿宋" w:cs="仿宋"/>
          <w:sz w:val="32"/>
          <w:szCs w:val="32"/>
          <w:lang w:eastAsia="zh-CN"/>
        </w:rPr>
        <w:t>（牵头单位：局</w:t>
      </w:r>
      <w:r>
        <w:rPr>
          <w:rFonts w:hint="eastAsia" w:ascii="仿宋" w:hAnsi="仿宋" w:eastAsia="仿宋" w:cs="仿宋"/>
          <w:sz w:val="32"/>
          <w:szCs w:val="32"/>
        </w:rPr>
        <w:t>“安全生产月”</w:t>
      </w:r>
      <w:r>
        <w:rPr>
          <w:rFonts w:hint="eastAsia" w:ascii="仿宋" w:hAnsi="仿宋" w:eastAsia="仿宋" w:cs="仿宋"/>
          <w:sz w:val="32"/>
          <w:szCs w:val="32"/>
          <w:lang w:eastAsia="zh-CN"/>
        </w:rPr>
        <w:t>组委会办公室；责任单位：</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lang w:eastAsia="zh-CN"/>
        </w:rPr>
        <w:t>）</w:t>
      </w:r>
    </w:p>
    <w:p>
      <w:pPr>
        <w:bidi w:val="0"/>
        <w:ind w:firstLine="643" w:firstLineChars="200"/>
        <w:rPr>
          <w:rFonts w:hint="eastAsia" w:ascii="仿宋" w:hAnsi="仿宋" w:eastAsia="仿宋" w:cs="仿宋"/>
          <w:sz w:val="32"/>
          <w:szCs w:val="32"/>
        </w:rPr>
      </w:pPr>
      <w:r>
        <w:rPr>
          <w:rFonts w:hint="eastAsia" w:ascii="楷体" w:hAnsi="楷体" w:eastAsia="楷体" w:cs="楷体"/>
          <w:b/>
          <w:bCs/>
          <w:sz w:val="32"/>
          <w:szCs w:val="32"/>
        </w:rPr>
        <w:t>（五）开展从业人员教育培训活动。</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rPr>
        <w:t>要结合本地实际，进一步完善</w:t>
      </w:r>
      <w:r>
        <w:rPr>
          <w:rFonts w:hint="eastAsia" w:ascii="仿宋" w:hAnsi="仿宋" w:eastAsia="仿宋" w:cs="仿宋"/>
          <w:sz w:val="32"/>
          <w:szCs w:val="32"/>
          <w:lang w:eastAsia="zh-CN"/>
        </w:rPr>
        <w:t>各领域</w:t>
      </w:r>
      <w:r>
        <w:rPr>
          <w:rFonts w:hint="eastAsia" w:ascii="仿宋" w:hAnsi="仿宋" w:eastAsia="仿宋" w:cs="仿宋"/>
          <w:sz w:val="32"/>
          <w:szCs w:val="32"/>
        </w:rPr>
        <w:t>从业人员安全教育培训体系，深入开展从业人员安全教育培训，着力提高培训质量和水平，不断提升培训实效。要结合汛期灾害多发、夏季高温施工等特点，组织开展安全事故警示教育活动，深入剖析事故原因，深刻吸取事故教训。要积极组织观看大型安全教育故事片《生命无价》，通过培训和活动不断提高从业人员安全意识和安全技能，提升企业安全管理水平，提高全系统事故防范和应急处置能力。</w:t>
      </w:r>
      <w:r>
        <w:rPr>
          <w:rFonts w:hint="eastAsia" w:ascii="仿宋" w:hAnsi="仿宋" w:eastAsia="仿宋" w:cs="仿宋"/>
          <w:sz w:val="32"/>
          <w:szCs w:val="32"/>
          <w:lang w:eastAsia="zh-CN"/>
        </w:rPr>
        <w:t>（牵头单位：局人事科；责任单位：</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lang w:eastAsia="zh-CN"/>
        </w:rPr>
        <w:t>）</w:t>
      </w:r>
    </w:p>
    <w:p>
      <w:pPr>
        <w:bidi w:val="0"/>
        <w:ind w:firstLine="643" w:firstLineChars="200"/>
        <w:rPr>
          <w:rFonts w:hint="eastAsia" w:ascii="仿宋" w:hAnsi="仿宋" w:eastAsia="仿宋" w:cs="仿宋"/>
          <w:sz w:val="32"/>
          <w:szCs w:val="32"/>
        </w:rPr>
      </w:pPr>
      <w:r>
        <w:rPr>
          <w:rFonts w:hint="eastAsia" w:ascii="楷体" w:hAnsi="楷体" w:eastAsia="楷体" w:cs="楷体"/>
          <w:b/>
          <w:bCs/>
          <w:sz w:val="32"/>
          <w:szCs w:val="32"/>
        </w:rPr>
        <w:t>（六）开展安全应急预案演练活动。</w:t>
      </w:r>
      <w:r>
        <w:rPr>
          <w:rFonts w:hint="eastAsia" w:ascii="仿宋" w:hAnsi="仿宋" w:eastAsia="仿宋" w:cs="仿宋"/>
          <w:b w:val="0"/>
          <w:bCs w:val="0"/>
          <w:sz w:val="32"/>
          <w:szCs w:val="32"/>
          <w:lang w:val="en-US" w:eastAsia="zh-CN"/>
        </w:rPr>
        <w:t>局属</w:t>
      </w:r>
      <w:r>
        <w:rPr>
          <w:rFonts w:hint="eastAsia" w:ascii="仿宋" w:hAnsi="仿宋" w:eastAsia="仿宋" w:cs="仿宋"/>
          <w:color w:val="000000"/>
          <w:sz w:val="32"/>
          <w:szCs w:val="32"/>
          <w:lang w:eastAsia="zh-CN"/>
        </w:rPr>
        <w:t>各单位、市区各相关企业</w:t>
      </w:r>
      <w:r>
        <w:rPr>
          <w:rFonts w:hint="eastAsia" w:ascii="仿宋" w:hAnsi="仿宋" w:eastAsia="仿宋" w:cs="仿宋"/>
          <w:sz w:val="32"/>
          <w:szCs w:val="32"/>
        </w:rPr>
        <w:t>要结合</w:t>
      </w:r>
      <w:r>
        <w:rPr>
          <w:rFonts w:hint="eastAsia" w:ascii="仿宋" w:hAnsi="仿宋" w:eastAsia="仿宋" w:cs="仿宋"/>
          <w:sz w:val="32"/>
          <w:szCs w:val="32"/>
          <w:lang w:eastAsia="zh-CN"/>
        </w:rPr>
        <w:t>本</w:t>
      </w:r>
      <w:r>
        <w:rPr>
          <w:rFonts w:hint="eastAsia" w:ascii="仿宋" w:hAnsi="仿宋" w:eastAsia="仿宋" w:cs="仿宋"/>
          <w:sz w:val="32"/>
          <w:szCs w:val="32"/>
        </w:rPr>
        <w:t>行业实际情况和行业特点，结合汛期防灾、现场消防、危大工程等重点环节，组织开展应急预案、应急知识、自救互救和避险逃生技能方面的培训和竞赛等等一系列活动；要坚持贴近实战、注重实效原则，进一步健全各级预防预警和应急处置机制，组织开展城市市政公用设施运营事故应急演练或应急预案推演活动，不断完善安全应急救援预案，切实提高企业事故救援和应急处置能力。</w:t>
      </w:r>
      <w:r>
        <w:rPr>
          <w:rFonts w:hint="eastAsia" w:ascii="仿宋" w:hAnsi="仿宋" w:eastAsia="仿宋" w:cs="仿宋"/>
          <w:sz w:val="32"/>
          <w:szCs w:val="32"/>
          <w:lang w:eastAsia="zh-CN"/>
        </w:rPr>
        <w:t>（牵头单位：局</w:t>
      </w:r>
      <w:r>
        <w:rPr>
          <w:rFonts w:hint="eastAsia" w:ascii="仿宋" w:hAnsi="仿宋" w:eastAsia="仿宋" w:cs="仿宋"/>
          <w:sz w:val="32"/>
          <w:szCs w:val="32"/>
        </w:rPr>
        <w:t>“安全生产月”</w:t>
      </w:r>
      <w:r>
        <w:rPr>
          <w:rFonts w:hint="eastAsia" w:ascii="仿宋" w:hAnsi="仿宋" w:eastAsia="仿宋" w:cs="仿宋"/>
          <w:sz w:val="32"/>
          <w:szCs w:val="32"/>
          <w:lang w:eastAsia="zh-CN"/>
        </w:rPr>
        <w:t>组委会办公室；责任单位：</w:t>
      </w:r>
      <w:r>
        <w:rPr>
          <w:rFonts w:hint="eastAsia" w:ascii="仿宋" w:hAnsi="仿宋" w:eastAsia="仿宋" w:cs="仿宋"/>
          <w:b w:val="0"/>
          <w:bCs w:val="0"/>
          <w:sz w:val="32"/>
          <w:szCs w:val="32"/>
          <w:lang w:val="en-US" w:eastAsia="zh-CN"/>
        </w:rPr>
        <w:t>局属各单位、市区各相关企业</w:t>
      </w:r>
      <w:r>
        <w:rPr>
          <w:rFonts w:hint="eastAsia" w:ascii="仿宋" w:hAnsi="仿宋" w:eastAsia="仿宋" w:cs="仿宋"/>
          <w:sz w:val="32"/>
          <w:szCs w:val="32"/>
          <w:lang w:eastAsia="zh-CN"/>
        </w:rPr>
        <w:t>）</w:t>
      </w:r>
    </w:p>
    <w:p>
      <w:pPr>
        <w:bidi w:val="0"/>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rPr>
        <w:t>（七）开展“安全生产中原行</w:t>
      </w:r>
      <w:r>
        <w:rPr>
          <w:rFonts w:hint="eastAsia" w:ascii="楷体" w:hAnsi="楷体" w:eastAsia="楷体" w:cs="楷体"/>
          <w:b/>
          <w:bCs/>
          <w:sz w:val="32"/>
          <w:szCs w:val="32"/>
          <w:lang w:eastAsia="zh-CN"/>
        </w:rPr>
        <w:t>—安全知识送一线</w:t>
      </w:r>
      <w:r>
        <w:rPr>
          <w:rFonts w:hint="eastAsia" w:ascii="楷体" w:hAnsi="楷体" w:eastAsia="楷体" w:cs="楷体"/>
          <w:b/>
          <w:bCs/>
          <w:sz w:val="32"/>
          <w:szCs w:val="32"/>
        </w:rPr>
        <w:t>”活动。</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rPr>
        <w:t>要紧紧围绕</w:t>
      </w:r>
      <w:r>
        <w:rPr>
          <w:rFonts w:hint="eastAsia" w:ascii="仿宋" w:hAnsi="仿宋" w:eastAsia="仿宋" w:cs="仿宋"/>
          <w:sz w:val="32"/>
          <w:szCs w:val="32"/>
          <w:lang w:eastAsia="zh-CN"/>
        </w:rPr>
        <w:t>《平顶山市城市管理局（市城市综合执法局）关于印发《2020年城市管理安全生产工作要点的通知》（平城管发</w:t>
      </w:r>
      <w:r>
        <w:rPr>
          <w:rFonts w:hint="eastAsia" w:ascii="仿宋" w:hAnsi="仿宋" w:eastAsia="仿宋" w:cs="仿宋"/>
          <w:color w:val="000000"/>
          <w:sz w:val="32"/>
          <w:szCs w:val="32"/>
        </w:rPr>
        <w:t>〔2020〕</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7号</w:t>
      </w:r>
      <w:r>
        <w:rPr>
          <w:rFonts w:hint="eastAsia" w:ascii="仿宋" w:hAnsi="仿宋" w:eastAsia="仿宋" w:cs="仿宋"/>
          <w:sz w:val="32"/>
          <w:szCs w:val="32"/>
          <w:lang w:eastAsia="zh-CN"/>
        </w:rPr>
        <w:t>）</w:t>
      </w:r>
      <w:r>
        <w:rPr>
          <w:rFonts w:hint="eastAsia" w:ascii="仿宋" w:hAnsi="仿宋" w:eastAsia="仿宋" w:cs="仿宋"/>
          <w:sz w:val="32"/>
          <w:szCs w:val="32"/>
        </w:rPr>
        <w:t>要求，组织开展“</w:t>
      </w:r>
      <w:r>
        <w:rPr>
          <w:rFonts w:hint="eastAsia" w:ascii="仿宋" w:hAnsi="仿宋" w:eastAsia="仿宋" w:cs="仿宋"/>
          <w:sz w:val="32"/>
          <w:szCs w:val="32"/>
          <w:lang w:eastAsia="zh-CN"/>
        </w:rPr>
        <w:t>安全知识送一线，平安温暖到现场</w:t>
      </w:r>
      <w:r>
        <w:rPr>
          <w:rFonts w:hint="eastAsia" w:ascii="仿宋" w:hAnsi="仿宋" w:eastAsia="仿宋" w:cs="仿宋"/>
          <w:sz w:val="32"/>
          <w:szCs w:val="32"/>
        </w:rPr>
        <w:t>”活动</w:t>
      </w:r>
      <w:r>
        <w:rPr>
          <w:rFonts w:hint="eastAsia" w:ascii="仿宋" w:hAnsi="仿宋" w:eastAsia="仿宋" w:cs="仿宋"/>
          <w:sz w:val="32"/>
          <w:szCs w:val="32"/>
          <w:lang w:eastAsia="zh-CN"/>
        </w:rPr>
        <w:t>，将安全生产知识送到全系统各个行业一线</w:t>
      </w:r>
      <w:r>
        <w:rPr>
          <w:rFonts w:hint="eastAsia" w:ascii="仿宋" w:hAnsi="仿宋" w:eastAsia="仿宋" w:cs="仿宋"/>
          <w:sz w:val="32"/>
          <w:szCs w:val="32"/>
        </w:rPr>
        <w:t>。要畅通群众监督和媒体监督渠道，充分利用电信、网络手段，发挥12350举报投诉热线、微信微博等平台作用，鼓励引导广大群众特别是企业员工举报重大隐患和违法违规行为，要根据举报线索组织新闻媒体曝光突出问题和重大隐患，宣传推广经验做法，推动企业落实安全生产主体责任，不断强化安全生产工作。</w:t>
      </w:r>
      <w:r>
        <w:rPr>
          <w:rFonts w:hint="eastAsia" w:ascii="仿宋" w:hAnsi="仿宋" w:eastAsia="仿宋" w:cs="仿宋"/>
          <w:sz w:val="32"/>
          <w:szCs w:val="32"/>
          <w:lang w:eastAsia="zh-CN"/>
        </w:rPr>
        <w:t>（牵头单位：局</w:t>
      </w:r>
      <w:r>
        <w:rPr>
          <w:rFonts w:hint="eastAsia" w:ascii="仿宋" w:hAnsi="仿宋" w:eastAsia="仿宋" w:cs="仿宋"/>
          <w:sz w:val="32"/>
          <w:szCs w:val="32"/>
        </w:rPr>
        <w:t>“安全生产月”</w:t>
      </w:r>
      <w:r>
        <w:rPr>
          <w:rFonts w:hint="eastAsia" w:ascii="仿宋" w:hAnsi="仿宋" w:eastAsia="仿宋" w:cs="仿宋"/>
          <w:sz w:val="32"/>
          <w:szCs w:val="32"/>
          <w:lang w:eastAsia="zh-CN"/>
        </w:rPr>
        <w:t>组委会办公室；配合单位：局办公室；责任单位：</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lang w:eastAsia="zh-CN"/>
        </w:rPr>
        <w:t>）</w:t>
      </w:r>
    </w:p>
    <w:p>
      <w:pPr>
        <w:bidi w:val="0"/>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lang w:eastAsia="zh-CN"/>
        </w:rPr>
        <w:t>（八）开展安全生产督查。</w:t>
      </w:r>
      <w:r>
        <w:rPr>
          <w:rFonts w:hint="eastAsia" w:ascii="仿宋" w:hAnsi="仿宋" w:eastAsia="仿宋" w:cs="仿宋"/>
          <w:sz w:val="32"/>
          <w:szCs w:val="32"/>
          <w:lang w:eastAsia="zh-CN"/>
        </w:rPr>
        <w:t>全系统要开展城管系统安全专项整治综合督查，深入局属各单位、市区各相关企业督导检查安全生产各项措施落实，做到事故隐患发现一起，及时整改一起，坚决防止事故发生，切实抓好安全生产工作。局市容秩序管理科要牵头开展高立柱广告、大型楼顶广告的安全专项整治，对存在较大安全风险的户外广告依法组织拆除；局市政设施管理科要牵头做好道路、桥梁、窨井、路灯等市政设施的管养护工作，尤其在进入汛期前做好城市防汛准备工作；局公用行业管理科要根据省里对瓶装液化气整治、二次供水安全要求，组织检查督导力度，促进企业落实安全生产责任制度，切实提高行业安全生产规范和标准。局属各单位、市区各相关企业要做好用电安全、防雷电、防溺水等工作，适当调整一线工作人员的作业时间，防止中暑事故的发生，</w:t>
      </w:r>
      <w:r>
        <w:rPr>
          <w:rFonts w:hint="eastAsia" w:ascii="仿宋" w:hAnsi="仿宋" w:eastAsia="仿宋" w:cs="仿宋"/>
          <w:b w:val="0"/>
          <w:bCs w:val="0"/>
          <w:sz w:val="32"/>
          <w:szCs w:val="32"/>
          <w:lang w:val="en-US" w:eastAsia="zh-CN"/>
        </w:rPr>
        <w:t>地下有限空间作业时要严格按照标准规范和操作规程</w:t>
      </w:r>
      <w:r>
        <w:rPr>
          <w:rFonts w:hint="eastAsia" w:ascii="仿宋" w:hAnsi="仿宋" w:eastAsia="仿宋" w:cs="仿宋"/>
          <w:sz w:val="32"/>
          <w:szCs w:val="32"/>
          <w:lang w:eastAsia="zh-CN"/>
        </w:rPr>
        <w:t>。执法支队要组织执法队伍认真开展安全生产执法检查，处罚一批违法生产行为，震慑一批安全生产工作不到位的企业。（牵头单位：局</w:t>
      </w:r>
      <w:r>
        <w:rPr>
          <w:rFonts w:hint="eastAsia" w:ascii="仿宋" w:hAnsi="仿宋" w:eastAsia="仿宋" w:cs="仿宋"/>
          <w:sz w:val="32"/>
          <w:szCs w:val="32"/>
        </w:rPr>
        <w:t>“安全生产月”</w:t>
      </w:r>
      <w:r>
        <w:rPr>
          <w:rFonts w:hint="eastAsia" w:ascii="仿宋" w:hAnsi="仿宋" w:eastAsia="仿宋" w:cs="仿宋"/>
          <w:sz w:val="32"/>
          <w:szCs w:val="32"/>
          <w:lang w:eastAsia="zh-CN"/>
        </w:rPr>
        <w:t>组委会办公室；责任单位：</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lang w:eastAsia="zh-CN"/>
        </w:rPr>
        <w:t>）</w:t>
      </w:r>
    </w:p>
    <w:p>
      <w:pPr>
        <w:bidi w:val="0"/>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四、工作要求</w:t>
      </w:r>
    </w:p>
    <w:p>
      <w:pPr>
        <w:bidi w:val="0"/>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rPr>
        <w:t>（一）加强组织领导，</w:t>
      </w:r>
      <w:r>
        <w:rPr>
          <w:rFonts w:hint="eastAsia" w:ascii="楷体" w:hAnsi="楷体" w:eastAsia="楷体" w:cs="楷体"/>
          <w:b/>
          <w:bCs/>
          <w:sz w:val="32"/>
          <w:szCs w:val="32"/>
          <w:lang w:eastAsia="zh-CN"/>
        </w:rPr>
        <w:t>强化组织保障</w:t>
      </w:r>
      <w:r>
        <w:rPr>
          <w:rFonts w:hint="eastAsia" w:ascii="楷体" w:hAnsi="楷体" w:eastAsia="楷体" w:cs="楷体"/>
          <w:b/>
          <w:bCs/>
          <w:sz w:val="32"/>
          <w:szCs w:val="32"/>
        </w:rPr>
        <w:t>。</w:t>
      </w:r>
      <w:r>
        <w:rPr>
          <w:rFonts w:hint="eastAsia" w:ascii="仿宋" w:hAnsi="仿宋" w:eastAsia="仿宋" w:cs="仿宋"/>
          <w:sz w:val="32"/>
          <w:szCs w:val="32"/>
          <w:lang w:eastAsia="zh-CN"/>
        </w:rPr>
        <w:t>成立市城市管理局“安全生产月”活动组委会，由党组书记和局长、副局长、科长以及各单位主要负责人共同组成，组委会办公室设在局公用行业管理科。</w:t>
      </w:r>
      <w:r>
        <w:rPr>
          <w:rFonts w:hint="eastAsia" w:ascii="仿宋" w:hAnsi="仿宋" w:eastAsia="仿宋" w:cs="仿宋"/>
          <w:b w:val="0"/>
          <w:bCs w:val="0"/>
          <w:sz w:val="32"/>
          <w:szCs w:val="32"/>
          <w:lang w:val="en-US" w:eastAsia="zh-CN"/>
        </w:rPr>
        <w:t>局机关科室、局属各单位</w:t>
      </w:r>
      <w:r>
        <w:rPr>
          <w:rFonts w:hint="eastAsia" w:ascii="仿宋" w:hAnsi="仿宋" w:eastAsia="仿宋" w:cs="仿宋"/>
          <w:sz w:val="32"/>
          <w:szCs w:val="32"/>
          <w:lang w:eastAsia="zh-CN"/>
        </w:rPr>
        <w:t>要按照职责分工，结合安全生产月活动要求，积极担当，主动作为，切实担负起本行业的安全生产工作；市区各相关企业要认真谋划部署，科学组织实施，始终把安全生产工作摆在各项工作的首位。</w:t>
      </w:r>
    </w:p>
    <w:p>
      <w:pPr>
        <w:bidi w:val="0"/>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lang w:eastAsia="zh-CN"/>
        </w:rPr>
        <w:t>（二）提高思想认识，扎实推进工作</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lang w:eastAsia="zh-CN"/>
        </w:rPr>
        <w:t>要把“安全生产月”活动作为践行习近平总书记关于安全生产重要论述的一项重要举措来推进落实，要把安全生产月活动和当前开展的安全生产三年整治行动密切结合，积极谋划疫情防控常态化情况下做好安全生产宣传工作的思路和办法，以安全月促安全年，形成安全生产宣传教育常态化机制。局属各单位、市区各相关企业要制定方案，细化任务，压实责任，切实达到“以活动提站位、以活动强素养、以活动促工作、以活动保安全”的目的，推动我市城市管理领域安全生产形势持续稳定向好。</w:t>
      </w:r>
    </w:p>
    <w:p>
      <w:pPr>
        <w:wordWrap w:val="0"/>
        <w:ind w:firstLine="643" w:firstLineChars="200"/>
        <w:rPr>
          <w:rFonts w:hint="eastAsia" w:ascii="仿宋" w:hAnsi="仿宋" w:eastAsia="仿宋" w:cs="仿宋"/>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）注重经验总结，加强信息报送</w:t>
      </w:r>
      <w:r>
        <w:rPr>
          <w:rFonts w:hint="eastAsia" w:ascii="仿宋" w:hAnsi="仿宋" w:eastAsia="仿宋" w:cs="仿宋"/>
          <w:sz w:val="32"/>
          <w:szCs w:val="32"/>
        </w:rPr>
        <w:t>。</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rPr>
        <w:t>要加强对“安全生产月”活动的总结，及时报送活动组织开展情况信息</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6月10日前报</w:t>
      </w:r>
      <w:r>
        <w:rPr>
          <w:rFonts w:eastAsia="仿宋_GB2312"/>
          <w:color w:val="000000"/>
          <w:sz w:val="32"/>
          <w:szCs w:val="32"/>
        </w:rPr>
        <w:t>“安全生产月”活动联络员推荐表</w:t>
      </w:r>
      <w:r>
        <w:rPr>
          <w:rFonts w:hint="eastAsia" w:ascii="仿宋" w:hAnsi="仿宋" w:eastAsia="仿宋" w:cs="仿宋"/>
          <w:sz w:val="32"/>
          <w:szCs w:val="32"/>
          <w:lang w:val="en-US" w:eastAsia="zh-CN"/>
        </w:rPr>
        <w:t>（附件2），6月份每周五报送本周活动开展的视频、图片、文字、总结等资料</w:t>
      </w:r>
      <w:r>
        <w:rPr>
          <w:rFonts w:hint="eastAsia" w:ascii="仿宋" w:hAnsi="仿宋" w:eastAsia="仿宋" w:cs="仿宋"/>
          <w:sz w:val="32"/>
          <w:szCs w:val="32"/>
          <w:lang w:eastAsia="zh-CN"/>
        </w:rPr>
        <w:t>，</w:t>
      </w:r>
      <w:r>
        <w:rPr>
          <w:rFonts w:hint="eastAsia" w:ascii="仿宋" w:hAnsi="仿宋" w:eastAsia="仿宋" w:cs="仿宋"/>
          <w:sz w:val="32"/>
          <w:szCs w:val="32"/>
        </w:rPr>
        <w:t>7月1日前报送总结报告</w:t>
      </w:r>
      <w:r>
        <w:rPr>
          <w:rFonts w:hint="eastAsia" w:ascii="仿宋" w:hAnsi="仿宋" w:eastAsia="仿宋" w:cs="仿宋"/>
          <w:sz w:val="32"/>
          <w:szCs w:val="32"/>
          <w:lang w:eastAsia="zh-CN"/>
        </w:rPr>
        <w:t>和</w:t>
      </w:r>
      <w:r>
        <w:rPr>
          <w:rFonts w:eastAsia="仿宋_GB2312"/>
          <w:color w:val="000000"/>
          <w:sz w:val="32"/>
          <w:szCs w:val="32"/>
        </w:rPr>
        <w:t>“安全生产月”</w:t>
      </w:r>
      <w:r>
        <w:rPr>
          <w:rFonts w:hint="eastAsia" w:eastAsia="仿宋_GB2312"/>
          <w:color w:val="000000"/>
          <w:sz w:val="32"/>
          <w:szCs w:val="32"/>
          <w:lang w:eastAsia="zh-CN"/>
        </w:rPr>
        <w:t>、</w:t>
      </w:r>
      <w:r>
        <w:rPr>
          <w:rFonts w:eastAsia="仿宋_GB2312"/>
          <w:color w:val="000000"/>
          <w:sz w:val="32"/>
          <w:szCs w:val="32"/>
        </w:rPr>
        <w:t>“安全生产中原行”活动情况统计表</w:t>
      </w:r>
      <w:r>
        <w:rPr>
          <w:rFonts w:hint="eastAsia" w:eastAsia="仿宋_GB2312"/>
          <w:color w:val="000000"/>
          <w:sz w:val="32"/>
          <w:szCs w:val="32"/>
          <w:lang w:eastAsia="zh-CN"/>
        </w:rPr>
        <w:t>（</w:t>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3</w:t>
      </w:r>
      <w:r>
        <w:rPr>
          <w:rFonts w:hint="eastAsia" w:eastAsia="仿宋_GB2312"/>
          <w:color w:val="000000"/>
          <w:sz w:val="32"/>
          <w:szCs w:val="32"/>
          <w:lang w:eastAsia="zh-CN"/>
        </w:rPr>
        <w:t>）</w:t>
      </w:r>
      <w:r>
        <w:rPr>
          <w:rFonts w:hint="eastAsia" w:ascii="仿宋" w:hAnsi="仿宋" w:eastAsia="仿宋" w:cs="仿宋"/>
          <w:sz w:val="32"/>
          <w:szCs w:val="32"/>
          <w:lang w:val="en-US" w:eastAsia="zh-CN"/>
        </w:rPr>
        <w:t>。</w:t>
      </w:r>
    </w:p>
    <w:p>
      <w:pPr>
        <w:wordWrap w:val="0"/>
        <w:ind w:firstLine="643" w:firstLineChars="200"/>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（四）强化督导检查，实行奖惩罚劣。</w:t>
      </w:r>
      <w:r>
        <w:rPr>
          <w:rFonts w:hint="eastAsia" w:ascii="仿宋" w:hAnsi="仿宋" w:eastAsia="仿宋" w:cs="仿宋"/>
          <w:sz w:val="32"/>
          <w:szCs w:val="32"/>
          <w:lang w:val="en-US" w:eastAsia="zh-CN"/>
        </w:rPr>
        <w:t>根据省住建厅工作安排，将对各地“安全生产月”活动开展情况进行检查，并纳入安全生产年度工作考核，局“安全生产月”活动组委会将不定期对</w:t>
      </w:r>
      <w:r>
        <w:rPr>
          <w:rFonts w:hint="eastAsia" w:ascii="仿宋" w:hAnsi="仿宋" w:eastAsia="仿宋" w:cs="仿宋"/>
          <w:b w:val="0"/>
          <w:bCs w:val="0"/>
          <w:sz w:val="32"/>
          <w:szCs w:val="32"/>
          <w:lang w:val="en-US" w:eastAsia="zh-CN"/>
        </w:rPr>
        <w:t>局机关科室、局属各单位、市区各相关企业</w:t>
      </w:r>
      <w:r>
        <w:rPr>
          <w:rFonts w:hint="eastAsia" w:ascii="仿宋" w:hAnsi="仿宋" w:eastAsia="仿宋" w:cs="仿宋"/>
          <w:sz w:val="32"/>
          <w:szCs w:val="32"/>
          <w:lang w:val="en-US" w:eastAsia="zh-CN"/>
        </w:rPr>
        <w:t>工作开展情况督导检查，对表现好的给予通报表扬；对未按工作要求开展活动或未完成任务或工作推动不力的将给予通报批评，对影响我局安全生产年度工作考核，并造成严重后果的，将依纪依法严肃问责，追究有关人员责任。</w:t>
      </w:r>
      <w:bookmarkStart w:id="0" w:name="_GoBack"/>
      <w:bookmarkEnd w:id="0"/>
    </w:p>
    <w:p>
      <w:pPr>
        <w:bidi w:val="0"/>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联系电话：</w:t>
      </w:r>
      <w:r>
        <w:rPr>
          <w:rFonts w:hint="eastAsia" w:ascii="仿宋" w:hAnsi="仿宋" w:eastAsia="仿宋" w:cs="仿宋"/>
          <w:sz w:val="32"/>
          <w:szCs w:val="32"/>
          <w:lang w:val="en-US" w:eastAsia="zh-CN"/>
        </w:rPr>
        <w:t>2633851</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联系人：王  琪</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电子邮箱：</w:t>
      </w: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HYPERLINK "mailto:pdsgysy@163.com" </w:instrText>
      </w:r>
      <w:r>
        <w:rPr>
          <w:rFonts w:hint="eastAsia" w:ascii="仿宋" w:hAnsi="仿宋" w:eastAsia="仿宋" w:cs="仿宋"/>
          <w:color w:val="auto"/>
          <w:sz w:val="32"/>
          <w:szCs w:val="32"/>
          <w:u w:val="none"/>
          <w:lang w:val="en-US" w:eastAsia="zh-CN"/>
        </w:rPr>
        <w:fldChar w:fldCharType="separate"/>
      </w:r>
      <w:r>
        <w:rPr>
          <w:rStyle w:val="12"/>
          <w:rFonts w:hint="eastAsia" w:ascii="仿宋" w:hAnsi="仿宋" w:eastAsia="仿宋" w:cs="仿宋"/>
          <w:color w:val="auto"/>
          <w:sz w:val="32"/>
          <w:szCs w:val="32"/>
          <w:u w:val="none"/>
          <w:lang w:val="en-US" w:eastAsia="zh-CN"/>
        </w:rPr>
        <w:t>pdsgysy@163.com</w:t>
      </w:r>
      <w:r>
        <w:rPr>
          <w:rFonts w:hint="eastAsia" w:ascii="仿宋" w:hAnsi="仿宋" w:eastAsia="仿宋" w:cs="仿宋"/>
          <w:color w:val="auto"/>
          <w:sz w:val="32"/>
          <w:szCs w:val="32"/>
          <w:u w:val="none"/>
          <w:lang w:val="en-US" w:eastAsia="zh-CN"/>
        </w:rPr>
        <w:fldChar w:fldCharType="end"/>
      </w:r>
    </w:p>
    <w:p>
      <w:pPr>
        <w:bidi w:val="0"/>
        <w:ind w:firstLine="640" w:firstLineChars="200"/>
        <w:rPr>
          <w:rFonts w:hint="default" w:ascii="仿宋" w:hAnsi="仿宋" w:eastAsia="仿宋" w:cs="仿宋"/>
          <w:sz w:val="32"/>
          <w:szCs w:val="32"/>
          <w:lang w:val="en-US" w:eastAsia="zh-CN"/>
        </w:rPr>
      </w:pPr>
    </w:p>
    <w:p>
      <w:pPr>
        <w:wordWrap w:val="0"/>
        <w:ind w:firstLine="640" w:firstLineChars="200"/>
        <w:rPr>
          <w:rFonts w:hint="eastAsia" w:eastAsia="仿宋_GB2312"/>
          <w:color w:val="000000"/>
          <w:sz w:val="32"/>
          <w:szCs w:val="32"/>
        </w:rPr>
      </w:pPr>
      <w:r>
        <w:rPr>
          <w:rFonts w:eastAsia="仿宋_GB2312"/>
          <w:color w:val="000000"/>
          <w:sz w:val="32"/>
          <w:szCs w:val="32"/>
        </w:rPr>
        <w:t>附件：1</w:t>
      </w:r>
      <w:r>
        <w:rPr>
          <w:rFonts w:hint="eastAsia" w:eastAsia="仿宋_GB2312"/>
          <w:color w:val="000000"/>
          <w:sz w:val="32"/>
          <w:szCs w:val="32"/>
        </w:rPr>
        <w:t>.</w:t>
      </w:r>
      <w:r>
        <w:rPr>
          <w:rFonts w:eastAsia="仿宋_GB2312"/>
          <w:color w:val="000000"/>
          <w:sz w:val="32"/>
          <w:szCs w:val="32"/>
        </w:rPr>
        <w:t>全国“安全生产月”活动宣传标语</w:t>
      </w:r>
    </w:p>
    <w:p>
      <w:pPr>
        <w:wordWrap w:val="0"/>
        <w:ind w:left="1894" w:leftChars="759" w:hanging="300" w:hangingChars="94"/>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平顶山市城市管理局（市城市综合执法局）</w:t>
      </w:r>
      <w:r>
        <w:rPr>
          <w:rFonts w:eastAsia="仿宋_GB2312"/>
          <w:color w:val="000000"/>
          <w:sz w:val="32"/>
          <w:szCs w:val="32"/>
        </w:rPr>
        <w:t>“安全生产月”活动联络员推荐表</w:t>
      </w:r>
    </w:p>
    <w:p>
      <w:pPr>
        <w:wordWrap w:val="0"/>
        <w:ind w:left="1887" w:leftChars="775" w:hanging="259" w:hangingChars="81"/>
        <w:rPr>
          <w:rFonts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eastAsia="zh-CN"/>
        </w:rPr>
        <w:t>平顶山市城市管理局（市城市综合执法局）</w:t>
      </w:r>
      <w:r>
        <w:rPr>
          <w:rFonts w:eastAsia="仿宋_GB2312"/>
          <w:color w:val="000000"/>
          <w:sz w:val="32"/>
          <w:szCs w:val="32"/>
        </w:rPr>
        <w:t>“安全生产月”和“安全生产中原行”活动情况统计表</w:t>
      </w:r>
    </w:p>
    <w:p>
      <w:pPr>
        <w:bidi w:val="0"/>
        <w:ind w:firstLine="640" w:firstLineChars="200"/>
        <w:rPr>
          <w:rFonts w:hint="default" w:ascii="仿宋" w:hAnsi="仿宋" w:eastAsia="仿宋" w:cs="仿宋"/>
          <w:sz w:val="32"/>
          <w:szCs w:val="32"/>
          <w:lang w:val="en-US" w:eastAsia="zh-CN"/>
        </w:rPr>
      </w:pPr>
    </w:p>
    <w:p>
      <w:pPr>
        <w:jc w:val="left"/>
        <w:rPr>
          <w:rFonts w:hint="eastAsia" w:ascii="仿宋" w:hAnsi="仿宋" w:eastAsia="仿宋" w:cs="仿宋"/>
          <w:b w:val="0"/>
          <w:bCs w:val="0"/>
          <w:sz w:val="32"/>
          <w:szCs w:val="32"/>
          <w:lang w:val="en-US" w:eastAsia="zh-CN"/>
        </w:rPr>
      </w:pPr>
    </w:p>
    <w:p>
      <w:pPr>
        <w:jc w:val="left"/>
        <w:rPr>
          <w:rFonts w:hint="eastAsia" w:ascii="仿宋" w:hAnsi="仿宋" w:eastAsia="仿宋" w:cs="仿宋"/>
          <w:b w:val="0"/>
          <w:bCs w:val="0"/>
          <w:sz w:val="32"/>
          <w:szCs w:val="32"/>
          <w:lang w:val="en-US" w:eastAsia="zh-CN"/>
        </w:rPr>
      </w:pP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2020年6月4日</w:t>
      </w:r>
    </w:p>
    <w:p>
      <w:pPr>
        <w:jc w:val="left"/>
        <w:rPr>
          <w:rFonts w:hint="eastAsia" w:ascii="仿宋" w:hAnsi="仿宋" w:eastAsia="仿宋" w:cs="仿宋"/>
          <w:b w:val="0"/>
          <w:bCs w:val="0"/>
          <w:sz w:val="32"/>
          <w:szCs w:val="32"/>
          <w:lang w:val="en-US" w:eastAsia="zh-CN"/>
        </w:rPr>
      </w:pPr>
    </w:p>
    <w:p>
      <w:pPr>
        <w:jc w:val="left"/>
        <w:rPr>
          <w:rFonts w:hint="eastAsia" w:ascii="仿宋" w:hAnsi="仿宋" w:eastAsia="仿宋" w:cs="仿宋"/>
          <w:b w:val="0"/>
          <w:bCs w:val="0"/>
          <w:sz w:val="32"/>
          <w:szCs w:val="32"/>
          <w:lang w:val="en-US" w:eastAsia="zh-CN"/>
        </w:rPr>
      </w:pPr>
    </w:p>
    <w:p>
      <w:pPr>
        <w:jc w:val="left"/>
        <w:rPr>
          <w:rFonts w:hint="eastAsia" w:ascii="仿宋" w:hAnsi="仿宋" w:eastAsia="仿宋" w:cs="仿宋"/>
          <w:b w:val="0"/>
          <w:bCs w:val="0"/>
          <w:sz w:val="32"/>
          <w:szCs w:val="32"/>
          <w:lang w:val="en-US" w:eastAsia="zh-CN"/>
        </w:rPr>
      </w:pPr>
    </w:p>
    <w:p>
      <w:pPr>
        <w:jc w:val="left"/>
        <w:rPr>
          <w:rFonts w:hint="eastAsia" w:ascii="仿宋" w:hAnsi="仿宋" w:eastAsia="仿宋" w:cs="仿宋"/>
          <w:b w:val="0"/>
          <w:bCs w:val="0"/>
          <w:sz w:val="32"/>
          <w:szCs w:val="32"/>
          <w:lang w:val="en-US" w:eastAsia="zh-CN"/>
        </w:rPr>
      </w:pPr>
    </w:p>
    <w:p>
      <w:pPr>
        <w:widowControl/>
        <w:spacing w:line="560" w:lineRule="exact"/>
        <w:rPr>
          <w:rFonts w:eastAsia="黑体"/>
          <w:color w:val="000000"/>
          <w:sz w:val="32"/>
          <w:szCs w:val="32"/>
        </w:rPr>
      </w:pPr>
      <w:r>
        <w:rPr>
          <w:rFonts w:hAnsi="黑体" w:eastAsia="黑体"/>
          <w:color w:val="000000"/>
          <w:sz w:val="32"/>
          <w:szCs w:val="32"/>
        </w:rPr>
        <w:t>附件</w:t>
      </w:r>
      <w:r>
        <w:rPr>
          <w:rFonts w:eastAsia="黑体"/>
          <w:color w:val="000000"/>
          <w:sz w:val="32"/>
          <w:szCs w:val="32"/>
        </w:rPr>
        <w:t>1</w:t>
      </w:r>
    </w:p>
    <w:p>
      <w:pPr>
        <w:pStyle w:val="6"/>
        <w:spacing w:before="0" w:after="0" w:line="240" w:lineRule="auto"/>
        <w:rPr>
          <w:rFonts w:ascii="Times New Roman" w:hAnsi="Times New Roman"/>
          <w:color w:val="000000"/>
        </w:rPr>
      </w:pPr>
      <w:r>
        <w:rPr>
          <w:rFonts w:ascii="Times New Roman" w:hAnsi="Times New Roman"/>
          <w:color w:val="000000"/>
        </w:rPr>
        <w:t>全国“</w:t>
      </w:r>
      <w:r>
        <w:rPr>
          <w:rFonts w:ascii="Times New Roman"/>
          <w:color w:val="000000"/>
        </w:rPr>
        <w:t>安全生产月</w:t>
      </w:r>
      <w:r>
        <w:rPr>
          <w:rFonts w:ascii="Times New Roman" w:hAnsi="Times New Roman"/>
          <w:color w:val="000000"/>
        </w:rPr>
        <w:t>”</w:t>
      </w:r>
      <w:r>
        <w:rPr>
          <w:rFonts w:ascii="Times New Roman"/>
          <w:color w:val="000000"/>
        </w:rPr>
        <w:t>活动宣传标语</w:t>
      </w:r>
    </w:p>
    <w:p>
      <w:pPr>
        <w:widowControl/>
        <w:spacing w:line="560" w:lineRule="exact"/>
        <w:ind w:firstLine="880" w:firstLineChars="200"/>
        <w:rPr>
          <w:rFonts w:eastAsia="仿宋_GB2312"/>
          <w:color w:val="000000"/>
          <w:sz w:val="44"/>
          <w:szCs w:val="44"/>
        </w:rPr>
      </w:pPr>
      <w:r>
        <w:rPr>
          <w:rFonts w:eastAsia="华文中宋"/>
          <w:color w:val="000000"/>
          <w:sz w:val="44"/>
          <w:szCs w:val="44"/>
        </w:rPr>
        <w:t xml:space="preserve"> </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消除事故隐患 筑牢安全防线</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生命至上 安全第一</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生命重于泰山 守住安全底线</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树牢安全发展理念 守住安全生产底线</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发展决不能以牺牲安全为代价</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党政同责 一岗双责 齐抓共管 失职追责</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统筹推进复工复产和安全防范工作</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抓防疫 促生产 保安全</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复工复产 莫忘安全</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复工复产要蹄疾 安全生产要步稳</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事故是最大的成本 安全是最大的效益</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安全生产必须警钟长鸣常抓不懈</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安全来自警惕 事故出于麻痹</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想安全事 上安全岗 做安全人</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你对违章讲人情 事故对你不留情</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宁为安全受累 不为事故流泪</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多看一眼 安全保险 多防一步 少出事故</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安全生产勿侥幸 违章违规要人命</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行动起来 筑牢安全防线</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我行动 我参与 我安全</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安全为天 平安是福</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安全生产 人人有责</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安全你我他 平安靠大家</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道路千万条 安全第一条</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生命只有一次 安全从我做起</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安全生产只有起点没有终点</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安全人人抓 幸福千万家</w:t>
      </w:r>
    </w:p>
    <w:p>
      <w:pPr>
        <w:pStyle w:val="13"/>
        <w:numPr>
          <w:ilvl w:val="0"/>
          <w:numId w:val="2"/>
        </w:numPr>
        <w:spacing w:line="560" w:lineRule="exact"/>
        <w:ind w:left="0" w:firstLine="617"/>
        <w:rPr>
          <w:rFonts w:eastAsia="仿宋_GB2312"/>
          <w:color w:val="000000"/>
          <w:kern w:val="0"/>
        </w:rPr>
      </w:pPr>
      <w:r>
        <w:rPr>
          <w:rFonts w:eastAsia="仿宋_GB2312"/>
          <w:color w:val="000000"/>
          <w:kern w:val="0"/>
        </w:rPr>
        <w:t>深入开展第19个全国“安全生产月”和“安全生</w:t>
      </w:r>
    </w:p>
    <w:p>
      <w:pPr>
        <w:pStyle w:val="13"/>
        <w:spacing w:line="560" w:lineRule="exact"/>
        <w:ind w:firstLine="617"/>
        <w:rPr>
          <w:rFonts w:eastAsia="仿宋_GB2312"/>
          <w:color w:val="000000"/>
          <w:kern w:val="0"/>
        </w:rPr>
      </w:pPr>
      <w:r>
        <w:rPr>
          <w:rFonts w:eastAsia="仿宋_GB2312"/>
          <w:color w:val="000000"/>
          <w:kern w:val="0"/>
        </w:rPr>
        <w:t>产万里行”活动</w:t>
      </w:r>
    </w:p>
    <w:p>
      <w:pPr>
        <w:pStyle w:val="13"/>
        <w:spacing w:line="560" w:lineRule="exact"/>
        <w:ind w:firstLine="617"/>
        <w:rPr>
          <w:rFonts w:eastAsia="仿宋_GB2312"/>
          <w:color w:val="000000"/>
          <w:kern w:val="0"/>
        </w:rPr>
      </w:pPr>
    </w:p>
    <w:p>
      <w:pPr>
        <w:jc w:val="left"/>
        <w:rPr>
          <w:rFonts w:hint="eastAsia" w:ascii="仿宋" w:hAnsi="仿宋" w:eastAsia="仿宋" w:cs="仿宋"/>
          <w:b w:val="0"/>
          <w:bCs w:val="0"/>
          <w:sz w:val="32"/>
          <w:szCs w:val="32"/>
          <w:lang w:val="en-US" w:eastAsia="zh-CN"/>
        </w:rPr>
        <w:sectPr>
          <w:headerReference r:id="rId3" w:type="default"/>
          <w:footerReference r:id="rId4" w:type="default"/>
          <w:pgSz w:w="11906" w:h="16838"/>
          <w:pgMar w:top="1780" w:right="1576" w:bottom="1553" w:left="1576" w:header="851" w:footer="992" w:gutter="0"/>
          <w:cols w:space="425" w:num="1"/>
          <w:docGrid w:type="lines" w:linePitch="312" w:charSpace="0"/>
        </w:sectPr>
      </w:pPr>
    </w:p>
    <w:p>
      <w:pPr>
        <w:widowControl/>
        <w:spacing w:line="560" w:lineRule="exact"/>
        <w:rPr>
          <w:rFonts w:hint="eastAsia" w:ascii="仿宋" w:hAnsi="仿宋" w:eastAsia="仿宋" w:cs="仿宋"/>
          <w:b w:val="0"/>
          <w:bCs w:val="0"/>
          <w:sz w:val="32"/>
          <w:szCs w:val="32"/>
          <w:lang w:val="en-US" w:eastAsia="zh-CN"/>
        </w:rPr>
      </w:pPr>
      <w:r>
        <w:rPr>
          <w:rFonts w:hAnsi="黑体" w:eastAsia="黑体"/>
          <w:color w:val="000000"/>
          <w:sz w:val="32"/>
          <w:szCs w:val="32"/>
        </w:rPr>
        <w:t>附件</w:t>
      </w:r>
      <w:r>
        <w:rPr>
          <w:rFonts w:hint="eastAsia" w:hAnsi="黑体" w:eastAsia="黑体"/>
          <w:color w:val="000000"/>
          <w:sz w:val="32"/>
          <w:szCs w:val="32"/>
          <w:lang w:val="en-US" w:eastAsia="zh-CN"/>
        </w:rPr>
        <w:t>2</w:t>
      </w:r>
    </w:p>
    <w:tbl>
      <w:tblPr>
        <w:tblStyle w:val="8"/>
        <w:tblW w:w="14083" w:type="dxa"/>
        <w:tblInd w:w="0" w:type="dxa"/>
        <w:tblLayout w:type="fixed"/>
        <w:tblCellMar>
          <w:top w:w="0" w:type="dxa"/>
          <w:left w:w="108" w:type="dxa"/>
          <w:bottom w:w="0" w:type="dxa"/>
          <w:right w:w="108" w:type="dxa"/>
        </w:tblCellMar>
      </w:tblPr>
      <w:tblGrid>
        <w:gridCol w:w="93"/>
        <w:gridCol w:w="1639"/>
        <w:gridCol w:w="2340"/>
        <w:gridCol w:w="1586"/>
        <w:gridCol w:w="2700"/>
        <w:gridCol w:w="1583"/>
        <w:gridCol w:w="2945"/>
        <w:gridCol w:w="1197"/>
      </w:tblGrid>
      <w:tr>
        <w:tblPrEx>
          <w:tblCellMar>
            <w:top w:w="0" w:type="dxa"/>
            <w:left w:w="108" w:type="dxa"/>
            <w:bottom w:w="0" w:type="dxa"/>
            <w:right w:w="108" w:type="dxa"/>
          </w:tblCellMar>
        </w:tblPrEx>
        <w:trPr>
          <w:trHeight w:val="624" w:hRule="atLeast"/>
        </w:trPr>
        <w:tc>
          <w:tcPr>
            <w:tcW w:w="14083" w:type="dxa"/>
            <w:gridSpan w:val="8"/>
            <w:vMerge w:val="restart"/>
            <w:tcBorders>
              <w:top w:val="nil"/>
              <w:left w:val="nil"/>
              <w:bottom w:val="nil"/>
              <w:right w:val="nil"/>
            </w:tcBorders>
            <w:noWrap w:val="0"/>
            <w:vAlign w:val="center"/>
          </w:tcPr>
          <w:p>
            <w:pPr>
              <w:spacing w:line="540" w:lineRule="exact"/>
              <w:jc w:val="center"/>
              <w:rPr>
                <w:rFonts w:hint="eastAsia" w:ascii="方正小标宋简体" w:eastAsia="方正小标宋简体"/>
                <w:color w:val="000000"/>
                <w:sz w:val="44"/>
                <w:szCs w:val="44"/>
                <w:lang w:eastAsia="zh-CN"/>
              </w:rPr>
            </w:pPr>
          </w:p>
          <w:p>
            <w:pPr>
              <w:spacing w:line="540" w:lineRule="exact"/>
              <w:jc w:val="both"/>
              <w:rPr>
                <w:rFonts w:hint="eastAsia" w:ascii="方正小标宋简体" w:eastAsia="方正小标宋简体"/>
                <w:color w:val="000000"/>
                <w:sz w:val="44"/>
                <w:szCs w:val="44"/>
                <w:lang w:eastAsia="zh-CN"/>
              </w:rPr>
            </w:pPr>
          </w:p>
          <w:p>
            <w:pPr>
              <w:spacing w:line="540" w:lineRule="exact"/>
              <w:jc w:val="center"/>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平顶山市城市管理局（市城市综合执法局）</w:t>
            </w:r>
          </w:p>
          <w:p>
            <w:pPr>
              <w:spacing w:line="54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w:t>
            </w:r>
            <w:r>
              <w:rPr>
                <w:rFonts w:hint="eastAsia" w:ascii="方正小标宋简体" w:hAnsi="仿宋_GB2312" w:eastAsia="方正小标宋简体"/>
                <w:color w:val="000000"/>
                <w:sz w:val="44"/>
                <w:szCs w:val="44"/>
              </w:rPr>
              <w:t>安全生产月</w:t>
            </w:r>
            <w:r>
              <w:rPr>
                <w:rFonts w:hint="eastAsia" w:ascii="方正小标宋简体" w:eastAsia="方正小标宋简体"/>
                <w:color w:val="000000"/>
                <w:sz w:val="44"/>
                <w:szCs w:val="44"/>
              </w:rPr>
              <w:t>”</w:t>
            </w:r>
            <w:r>
              <w:rPr>
                <w:rFonts w:hint="eastAsia" w:ascii="方正小标宋简体" w:hAnsi="仿宋_GB2312" w:eastAsia="方正小标宋简体"/>
                <w:color w:val="000000"/>
                <w:sz w:val="44"/>
                <w:szCs w:val="44"/>
              </w:rPr>
              <w:t>活动联络员推荐表</w:t>
            </w:r>
          </w:p>
          <w:p>
            <w:pPr>
              <w:spacing w:line="540" w:lineRule="exact"/>
              <w:jc w:val="center"/>
              <w:rPr>
                <w:rFonts w:eastAsia="仿宋_GB2312"/>
                <w:color w:val="000000"/>
                <w:sz w:val="44"/>
                <w:szCs w:val="44"/>
              </w:rPr>
            </w:pPr>
          </w:p>
        </w:tc>
      </w:tr>
      <w:tr>
        <w:tblPrEx>
          <w:tblCellMar>
            <w:top w:w="0" w:type="dxa"/>
            <w:left w:w="108" w:type="dxa"/>
            <w:bottom w:w="0" w:type="dxa"/>
            <w:right w:w="108" w:type="dxa"/>
          </w:tblCellMar>
        </w:tblPrEx>
        <w:trPr>
          <w:trHeight w:val="1154" w:hRule="atLeast"/>
        </w:trPr>
        <w:tc>
          <w:tcPr>
            <w:tcW w:w="7513" w:type="dxa"/>
            <w:gridSpan w:val="8"/>
            <w:vMerge w:val="continue"/>
            <w:tcBorders>
              <w:top w:val="nil"/>
              <w:left w:val="nil"/>
              <w:bottom w:val="nil"/>
              <w:right w:val="nil"/>
            </w:tcBorders>
            <w:noWrap w:val="0"/>
            <w:vAlign w:val="center"/>
          </w:tcPr>
          <w:p>
            <w:pPr>
              <w:widowControl/>
              <w:jc w:val="left"/>
              <w:rPr>
                <w:rFonts w:eastAsia="仿宋_GB2312"/>
                <w:color w:val="000000"/>
                <w:sz w:val="44"/>
                <w:szCs w:val="44"/>
              </w:rPr>
            </w:pPr>
          </w:p>
        </w:tc>
      </w:tr>
      <w:tr>
        <w:tblPrEx>
          <w:tblCellMar>
            <w:top w:w="0" w:type="dxa"/>
            <w:left w:w="108" w:type="dxa"/>
            <w:bottom w:w="0" w:type="dxa"/>
            <w:right w:w="108" w:type="dxa"/>
          </w:tblCellMar>
        </w:tblPrEx>
        <w:trPr>
          <w:gridBefore w:val="1"/>
          <w:gridAfter w:val="1"/>
          <w:wBefore w:w="93" w:type="dxa"/>
          <w:wAfter w:w="1197" w:type="dxa"/>
          <w:trHeight w:val="720" w:hRule="atLeast"/>
        </w:trPr>
        <w:tc>
          <w:tcPr>
            <w:tcW w:w="163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color w:val="000000"/>
                <w:szCs w:val="21"/>
              </w:rPr>
            </w:pPr>
            <w:r>
              <w:rPr>
                <w:rFonts w:hAnsi="宋体"/>
                <w:color w:val="000000"/>
                <w:szCs w:val="21"/>
              </w:rPr>
              <w:t>姓名</w:t>
            </w:r>
          </w:p>
        </w:tc>
        <w:tc>
          <w:tcPr>
            <w:tcW w:w="2340" w:type="dxa"/>
            <w:tcBorders>
              <w:top w:val="single" w:color="auto" w:sz="4" w:space="0"/>
              <w:left w:val="nil"/>
              <w:bottom w:val="single" w:color="auto" w:sz="4" w:space="0"/>
              <w:right w:val="single" w:color="auto" w:sz="4" w:space="0"/>
            </w:tcBorders>
            <w:noWrap w:val="0"/>
            <w:vAlign w:val="center"/>
          </w:tcPr>
          <w:p>
            <w:pPr>
              <w:spacing w:line="540" w:lineRule="exact"/>
              <w:jc w:val="center"/>
              <w:rPr>
                <w:color w:val="000000"/>
                <w:szCs w:val="21"/>
              </w:rPr>
            </w:pPr>
          </w:p>
        </w:tc>
        <w:tc>
          <w:tcPr>
            <w:tcW w:w="1586" w:type="dxa"/>
            <w:tcBorders>
              <w:top w:val="single" w:color="auto" w:sz="4" w:space="0"/>
              <w:left w:val="nil"/>
              <w:bottom w:val="single" w:color="auto" w:sz="4" w:space="0"/>
              <w:right w:val="single" w:color="auto" w:sz="4" w:space="0"/>
            </w:tcBorders>
            <w:noWrap w:val="0"/>
            <w:vAlign w:val="center"/>
          </w:tcPr>
          <w:p>
            <w:pPr>
              <w:spacing w:line="540" w:lineRule="exact"/>
              <w:jc w:val="center"/>
              <w:rPr>
                <w:color w:val="000000"/>
                <w:szCs w:val="21"/>
              </w:rPr>
            </w:pPr>
            <w:r>
              <w:rPr>
                <w:rFonts w:hAnsi="宋体"/>
                <w:color w:val="000000"/>
                <w:szCs w:val="21"/>
              </w:rPr>
              <w:t>性别</w:t>
            </w:r>
          </w:p>
        </w:tc>
        <w:tc>
          <w:tcPr>
            <w:tcW w:w="2700" w:type="dxa"/>
            <w:tcBorders>
              <w:top w:val="single" w:color="auto" w:sz="4" w:space="0"/>
              <w:left w:val="nil"/>
              <w:bottom w:val="single" w:color="auto" w:sz="4" w:space="0"/>
              <w:right w:val="single" w:color="auto" w:sz="4" w:space="0"/>
            </w:tcBorders>
            <w:noWrap w:val="0"/>
            <w:vAlign w:val="center"/>
          </w:tcPr>
          <w:p>
            <w:pPr>
              <w:spacing w:line="540" w:lineRule="exact"/>
              <w:jc w:val="center"/>
              <w:rPr>
                <w:color w:val="000000"/>
                <w:szCs w:val="21"/>
              </w:rPr>
            </w:pPr>
          </w:p>
        </w:tc>
        <w:tc>
          <w:tcPr>
            <w:tcW w:w="1583" w:type="dxa"/>
            <w:tcBorders>
              <w:top w:val="single" w:color="auto" w:sz="4" w:space="0"/>
              <w:left w:val="nil"/>
              <w:bottom w:val="single" w:color="auto" w:sz="4" w:space="0"/>
              <w:right w:val="single" w:color="auto" w:sz="4" w:space="0"/>
            </w:tcBorders>
            <w:noWrap w:val="0"/>
            <w:vAlign w:val="center"/>
          </w:tcPr>
          <w:p>
            <w:pPr>
              <w:spacing w:line="540" w:lineRule="exact"/>
              <w:jc w:val="center"/>
              <w:rPr>
                <w:color w:val="000000"/>
                <w:szCs w:val="21"/>
              </w:rPr>
            </w:pPr>
            <w:r>
              <w:rPr>
                <w:rFonts w:hAnsi="宋体"/>
                <w:color w:val="000000"/>
                <w:szCs w:val="21"/>
              </w:rPr>
              <w:t>职务</w:t>
            </w:r>
          </w:p>
        </w:tc>
        <w:tc>
          <w:tcPr>
            <w:tcW w:w="2945" w:type="dxa"/>
            <w:tcBorders>
              <w:top w:val="single" w:color="auto" w:sz="4" w:space="0"/>
              <w:left w:val="nil"/>
              <w:bottom w:val="single" w:color="auto" w:sz="4" w:space="0"/>
              <w:right w:val="single" w:color="auto" w:sz="4" w:space="0"/>
            </w:tcBorders>
            <w:noWrap w:val="0"/>
            <w:vAlign w:val="center"/>
          </w:tcPr>
          <w:p>
            <w:pPr>
              <w:spacing w:line="540" w:lineRule="exact"/>
              <w:jc w:val="center"/>
              <w:rPr>
                <w:color w:val="000000"/>
                <w:szCs w:val="21"/>
              </w:rPr>
            </w:pPr>
          </w:p>
        </w:tc>
      </w:tr>
      <w:tr>
        <w:tblPrEx>
          <w:tblCellMar>
            <w:top w:w="0" w:type="dxa"/>
            <w:left w:w="108" w:type="dxa"/>
            <w:bottom w:w="0" w:type="dxa"/>
            <w:right w:w="108" w:type="dxa"/>
          </w:tblCellMar>
        </w:tblPrEx>
        <w:trPr>
          <w:gridBefore w:val="1"/>
          <w:gridAfter w:val="1"/>
          <w:wBefore w:w="93" w:type="dxa"/>
          <w:wAfter w:w="1197" w:type="dxa"/>
          <w:trHeight w:val="780" w:hRule="atLeast"/>
        </w:trPr>
        <w:tc>
          <w:tcPr>
            <w:tcW w:w="1639" w:type="dxa"/>
            <w:tcBorders>
              <w:top w:val="nil"/>
              <w:left w:val="single" w:color="auto" w:sz="4" w:space="0"/>
              <w:bottom w:val="single" w:color="auto" w:sz="4" w:space="0"/>
              <w:right w:val="single" w:color="auto" w:sz="4" w:space="0"/>
            </w:tcBorders>
            <w:noWrap w:val="0"/>
            <w:vAlign w:val="center"/>
          </w:tcPr>
          <w:p>
            <w:pPr>
              <w:spacing w:line="540" w:lineRule="exact"/>
              <w:jc w:val="center"/>
              <w:rPr>
                <w:color w:val="000000"/>
                <w:szCs w:val="21"/>
              </w:rPr>
            </w:pPr>
            <w:r>
              <w:rPr>
                <w:rFonts w:hAnsi="宋体"/>
                <w:color w:val="000000"/>
                <w:szCs w:val="21"/>
              </w:rPr>
              <w:t>办公电话</w:t>
            </w:r>
          </w:p>
        </w:tc>
        <w:tc>
          <w:tcPr>
            <w:tcW w:w="2340" w:type="dxa"/>
            <w:tcBorders>
              <w:top w:val="nil"/>
              <w:left w:val="nil"/>
              <w:bottom w:val="single" w:color="auto" w:sz="4" w:space="0"/>
              <w:right w:val="single" w:color="auto" w:sz="4" w:space="0"/>
            </w:tcBorders>
            <w:noWrap w:val="0"/>
            <w:vAlign w:val="center"/>
          </w:tcPr>
          <w:p>
            <w:pPr>
              <w:spacing w:line="540" w:lineRule="exact"/>
              <w:jc w:val="center"/>
              <w:rPr>
                <w:color w:val="000000"/>
                <w:szCs w:val="21"/>
              </w:rPr>
            </w:pPr>
          </w:p>
        </w:tc>
        <w:tc>
          <w:tcPr>
            <w:tcW w:w="1586" w:type="dxa"/>
            <w:tcBorders>
              <w:top w:val="nil"/>
              <w:left w:val="nil"/>
              <w:bottom w:val="single" w:color="auto" w:sz="4" w:space="0"/>
              <w:right w:val="single" w:color="auto" w:sz="4" w:space="0"/>
            </w:tcBorders>
            <w:noWrap w:val="0"/>
            <w:vAlign w:val="center"/>
          </w:tcPr>
          <w:p>
            <w:pPr>
              <w:spacing w:line="540" w:lineRule="exact"/>
              <w:jc w:val="center"/>
              <w:rPr>
                <w:color w:val="000000"/>
                <w:szCs w:val="21"/>
              </w:rPr>
            </w:pPr>
            <w:r>
              <w:rPr>
                <w:rFonts w:hAnsi="宋体"/>
                <w:color w:val="000000"/>
                <w:szCs w:val="21"/>
              </w:rPr>
              <w:t>手机</w:t>
            </w:r>
          </w:p>
        </w:tc>
        <w:tc>
          <w:tcPr>
            <w:tcW w:w="2700" w:type="dxa"/>
            <w:tcBorders>
              <w:top w:val="nil"/>
              <w:left w:val="nil"/>
              <w:bottom w:val="single" w:color="auto" w:sz="4" w:space="0"/>
              <w:right w:val="single" w:color="auto" w:sz="4" w:space="0"/>
            </w:tcBorders>
            <w:noWrap w:val="0"/>
            <w:vAlign w:val="center"/>
          </w:tcPr>
          <w:p>
            <w:pPr>
              <w:spacing w:line="540" w:lineRule="exact"/>
              <w:jc w:val="center"/>
              <w:rPr>
                <w:color w:val="000000"/>
                <w:szCs w:val="21"/>
              </w:rPr>
            </w:pPr>
          </w:p>
        </w:tc>
        <w:tc>
          <w:tcPr>
            <w:tcW w:w="1583" w:type="dxa"/>
            <w:tcBorders>
              <w:top w:val="nil"/>
              <w:left w:val="nil"/>
              <w:bottom w:val="single" w:color="auto" w:sz="4" w:space="0"/>
              <w:right w:val="single" w:color="auto" w:sz="4" w:space="0"/>
            </w:tcBorders>
            <w:noWrap w:val="0"/>
            <w:vAlign w:val="center"/>
          </w:tcPr>
          <w:p>
            <w:pPr>
              <w:spacing w:line="540" w:lineRule="exact"/>
              <w:jc w:val="center"/>
              <w:rPr>
                <w:color w:val="000000"/>
                <w:szCs w:val="21"/>
              </w:rPr>
            </w:pPr>
            <w:r>
              <w:rPr>
                <w:rFonts w:hAnsi="宋体"/>
                <w:color w:val="000000"/>
                <w:szCs w:val="21"/>
              </w:rPr>
              <w:t>传真</w:t>
            </w:r>
          </w:p>
        </w:tc>
        <w:tc>
          <w:tcPr>
            <w:tcW w:w="2945" w:type="dxa"/>
            <w:tcBorders>
              <w:top w:val="single" w:color="auto" w:sz="4" w:space="0"/>
              <w:left w:val="nil"/>
              <w:bottom w:val="single" w:color="auto" w:sz="4" w:space="0"/>
              <w:right w:val="single" w:color="auto" w:sz="4" w:space="0"/>
            </w:tcBorders>
            <w:noWrap w:val="0"/>
            <w:vAlign w:val="center"/>
          </w:tcPr>
          <w:p>
            <w:pPr>
              <w:spacing w:line="540" w:lineRule="exact"/>
              <w:jc w:val="center"/>
              <w:rPr>
                <w:color w:val="000000"/>
                <w:szCs w:val="21"/>
              </w:rPr>
            </w:pPr>
          </w:p>
        </w:tc>
      </w:tr>
      <w:tr>
        <w:tblPrEx>
          <w:tblCellMar>
            <w:top w:w="0" w:type="dxa"/>
            <w:left w:w="108" w:type="dxa"/>
            <w:bottom w:w="0" w:type="dxa"/>
            <w:right w:w="108" w:type="dxa"/>
          </w:tblCellMar>
        </w:tblPrEx>
        <w:trPr>
          <w:gridBefore w:val="1"/>
          <w:gridAfter w:val="1"/>
          <w:wBefore w:w="93" w:type="dxa"/>
          <w:wAfter w:w="1197" w:type="dxa"/>
          <w:trHeight w:val="780" w:hRule="atLeast"/>
        </w:trPr>
        <w:tc>
          <w:tcPr>
            <w:tcW w:w="1639" w:type="dxa"/>
            <w:tcBorders>
              <w:top w:val="nil"/>
              <w:left w:val="single" w:color="auto" w:sz="4" w:space="0"/>
              <w:bottom w:val="single" w:color="auto" w:sz="4" w:space="0"/>
              <w:right w:val="single" w:color="auto" w:sz="4" w:space="0"/>
            </w:tcBorders>
            <w:noWrap w:val="0"/>
            <w:vAlign w:val="center"/>
          </w:tcPr>
          <w:p>
            <w:pPr>
              <w:spacing w:line="540" w:lineRule="exact"/>
              <w:jc w:val="center"/>
              <w:rPr>
                <w:color w:val="000000"/>
                <w:szCs w:val="21"/>
              </w:rPr>
            </w:pPr>
            <w:r>
              <w:rPr>
                <w:color w:val="000000"/>
                <w:szCs w:val="21"/>
              </w:rPr>
              <w:t>QQ</w:t>
            </w:r>
            <w:r>
              <w:rPr>
                <w:rFonts w:hAnsi="宋体"/>
                <w:color w:val="000000"/>
                <w:szCs w:val="21"/>
              </w:rPr>
              <w:t>号</w:t>
            </w:r>
          </w:p>
        </w:tc>
        <w:tc>
          <w:tcPr>
            <w:tcW w:w="2340" w:type="dxa"/>
            <w:tcBorders>
              <w:top w:val="nil"/>
              <w:left w:val="nil"/>
              <w:bottom w:val="single" w:color="auto" w:sz="4" w:space="0"/>
              <w:right w:val="single" w:color="auto" w:sz="4" w:space="0"/>
            </w:tcBorders>
            <w:noWrap w:val="0"/>
            <w:vAlign w:val="center"/>
          </w:tcPr>
          <w:p>
            <w:pPr>
              <w:spacing w:line="540" w:lineRule="exact"/>
              <w:jc w:val="center"/>
              <w:rPr>
                <w:color w:val="000000"/>
                <w:szCs w:val="21"/>
              </w:rPr>
            </w:pPr>
          </w:p>
        </w:tc>
        <w:tc>
          <w:tcPr>
            <w:tcW w:w="1586" w:type="dxa"/>
            <w:tcBorders>
              <w:top w:val="nil"/>
              <w:left w:val="nil"/>
              <w:bottom w:val="single" w:color="auto" w:sz="4" w:space="0"/>
              <w:right w:val="single" w:color="auto" w:sz="4" w:space="0"/>
            </w:tcBorders>
            <w:noWrap w:val="0"/>
            <w:vAlign w:val="center"/>
          </w:tcPr>
          <w:p>
            <w:pPr>
              <w:spacing w:line="540" w:lineRule="exact"/>
              <w:jc w:val="center"/>
              <w:rPr>
                <w:color w:val="000000"/>
                <w:szCs w:val="21"/>
              </w:rPr>
            </w:pPr>
            <w:r>
              <w:rPr>
                <w:rFonts w:hAnsi="宋体"/>
                <w:color w:val="000000"/>
                <w:szCs w:val="21"/>
              </w:rPr>
              <w:t>微信号</w:t>
            </w:r>
          </w:p>
        </w:tc>
        <w:tc>
          <w:tcPr>
            <w:tcW w:w="2700" w:type="dxa"/>
            <w:tcBorders>
              <w:top w:val="nil"/>
              <w:left w:val="nil"/>
              <w:bottom w:val="single" w:color="auto" w:sz="4" w:space="0"/>
              <w:right w:val="single" w:color="auto" w:sz="4" w:space="0"/>
            </w:tcBorders>
            <w:noWrap w:val="0"/>
            <w:vAlign w:val="bottom"/>
          </w:tcPr>
          <w:p>
            <w:pPr>
              <w:spacing w:line="540" w:lineRule="exact"/>
              <w:jc w:val="center"/>
              <w:rPr>
                <w:color w:val="000000"/>
                <w:szCs w:val="21"/>
              </w:rPr>
            </w:pPr>
          </w:p>
        </w:tc>
        <w:tc>
          <w:tcPr>
            <w:tcW w:w="1583" w:type="dxa"/>
            <w:tcBorders>
              <w:top w:val="nil"/>
              <w:left w:val="nil"/>
              <w:bottom w:val="single" w:color="auto" w:sz="4" w:space="0"/>
              <w:right w:val="single" w:color="auto" w:sz="4" w:space="0"/>
            </w:tcBorders>
            <w:noWrap w:val="0"/>
            <w:vAlign w:val="center"/>
          </w:tcPr>
          <w:p>
            <w:pPr>
              <w:spacing w:line="540" w:lineRule="exact"/>
              <w:jc w:val="center"/>
              <w:rPr>
                <w:color w:val="000000"/>
                <w:szCs w:val="21"/>
              </w:rPr>
            </w:pPr>
            <w:r>
              <w:rPr>
                <w:rFonts w:hAnsi="宋体"/>
                <w:color w:val="000000"/>
                <w:szCs w:val="21"/>
              </w:rPr>
              <w:t>电子邮箱</w:t>
            </w:r>
          </w:p>
        </w:tc>
        <w:tc>
          <w:tcPr>
            <w:tcW w:w="2945" w:type="dxa"/>
            <w:tcBorders>
              <w:top w:val="single" w:color="auto" w:sz="4" w:space="0"/>
              <w:left w:val="nil"/>
              <w:bottom w:val="single" w:color="auto" w:sz="4" w:space="0"/>
              <w:right w:val="single" w:color="auto" w:sz="4" w:space="0"/>
            </w:tcBorders>
            <w:noWrap w:val="0"/>
            <w:vAlign w:val="bottom"/>
          </w:tcPr>
          <w:p>
            <w:pPr>
              <w:spacing w:line="540" w:lineRule="exact"/>
              <w:jc w:val="center"/>
              <w:rPr>
                <w:color w:val="000000"/>
                <w:szCs w:val="21"/>
              </w:rPr>
            </w:pPr>
          </w:p>
        </w:tc>
      </w:tr>
      <w:tr>
        <w:tblPrEx>
          <w:tblCellMar>
            <w:top w:w="0" w:type="dxa"/>
            <w:left w:w="108" w:type="dxa"/>
            <w:bottom w:w="0" w:type="dxa"/>
            <w:right w:w="108" w:type="dxa"/>
          </w:tblCellMar>
        </w:tblPrEx>
        <w:trPr>
          <w:gridBefore w:val="1"/>
          <w:gridAfter w:val="1"/>
          <w:wBefore w:w="93" w:type="dxa"/>
          <w:wAfter w:w="1197" w:type="dxa"/>
          <w:trHeight w:val="1062" w:hRule="atLeast"/>
        </w:trPr>
        <w:tc>
          <w:tcPr>
            <w:tcW w:w="1639" w:type="dxa"/>
            <w:tcBorders>
              <w:top w:val="nil"/>
              <w:left w:val="single" w:color="auto" w:sz="4" w:space="0"/>
              <w:bottom w:val="single" w:color="auto" w:sz="4" w:space="0"/>
              <w:right w:val="single" w:color="auto" w:sz="4" w:space="0"/>
            </w:tcBorders>
            <w:noWrap w:val="0"/>
            <w:vAlign w:val="center"/>
          </w:tcPr>
          <w:p>
            <w:pPr>
              <w:spacing w:line="540" w:lineRule="exact"/>
              <w:jc w:val="center"/>
              <w:rPr>
                <w:color w:val="000000"/>
                <w:szCs w:val="21"/>
              </w:rPr>
            </w:pPr>
            <w:r>
              <w:rPr>
                <w:rFonts w:hAnsi="宋体"/>
                <w:color w:val="000000"/>
                <w:szCs w:val="21"/>
              </w:rPr>
              <w:t>单位名称</w:t>
            </w:r>
          </w:p>
        </w:tc>
        <w:tc>
          <w:tcPr>
            <w:tcW w:w="11154" w:type="dxa"/>
            <w:gridSpan w:val="5"/>
            <w:tcBorders>
              <w:top w:val="single" w:color="auto" w:sz="4" w:space="0"/>
              <w:left w:val="nil"/>
              <w:bottom w:val="single" w:color="auto" w:sz="4" w:space="0"/>
              <w:right w:val="single" w:color="auto" w:sz="4" w:space="0"/>
            </w:tcBorders>
            <w:noWrap w:val="0"/>
            <w:vAlign w:val="bottom"/>
          </w:tcPr>
          <w:p>
            <w:pPr>
              <w:spacing w:line="540" w:lineRule="exact"/>
              <w:jc w:val="center"/>
              <w:rPr>
                <w:color w:val="000000"/>
                <w:szCs w:val="21"/>
              </w:rPr>
            </w:pPr>
          </w:p>
        </w:tc>
      </w:tr>
      <w:tr>
        <w:tblPrEx>
          <w:tblCellMar>
            <w:top w:w="0" w:type="dxa"/>
            <w:left w:w="108" w:type="dxa"/>
            <w:bottom w:w="0" w:type="dxa"/>
            <w:right w:w="108" w:type="dxa"/>
          </w:tblCellMar>
        </w:tblPrEx>
        <w:trPr>
          <w:gridBefore w:val="1"/>
          <w:gridAfter w:val="1"/>
          <w:wBefore w:w="93" w:type="dxa"/>
          <w:wAfter w:w="1197" w:type="dxa"/>
          <w:trHeight w:val="1089" w:hRule="atLeast"/>
        </w:trPr>
        <w:tc>
          <w:tcPr>
            <w:tcW w:w="1639" w:type="dxa"/>
            <w:tcBorders>
              <w:top w:val="nil"/>
              <w:left w:val="single" w:color="auto" w:sz="4" w:space="0"/>
              <w:bottom w:val="single" w:color="auto" w:sz="4" w:space="0"/>
              <w:right w:val="single" w:color="auto" w:sz="4" w:space="0"/>
            </w:tcBorders>
            <w:noWrap w:val="0"/>
            <w:vAlign w:val="center"/>
          </w:tcPr>
          <w:p>
            <w:pPr>
              <w:spacing w:line="540" w:lineRule="exact"/>
              <w:jc w:val="center"/>
              <w:rPr>
                <w:color w:val="000000"/>
                <w:szCs w:val="21"/>
              </w:rPr>
            </w:pPr>
            <w:r>
              <w:rPr>
                <w:rFonts w:hAnsi="宋体"/>
                <w:color w:val="000000"/>
                <w:szCs w:val="21"/>
              </w:rPr>
              <w:t>通信地址</w:t>
            </w:r>
          </w:p>
        </w:tc>
        <w:tc>
          <w:tcPr>
            <w:tcW w:w="11154" w:type="dxa"/>
            <w:gridSpan w:val="5"/>
            <w:tcBorders>
              <w:top w:val="single" w:color="auto" w:sz="4" w:space="0"/>
              <w:left w:val="nil"/>
              <w:bottom w:val="single" w:color="auto" w:sz="4" w:space="0"/>
              <w:right w:val="single" w:color="auto" w:sz="4" w:space="0"/>
            </w:tcBorders>
            <w:noWrap w:val="0"/>
            <w:vAlign w:val="center"/>
          </w:tcPr>
          <w:p>
            <w:pPr>
              <w:spacing w:line="540" w:lineRule="exact"/>
              <w:jc w:val="center"/>
              <w:rPr>
                <w:color w:val="000000"/>
                <w:szCs w:val="21"/>
              </w:rPr>
            </w:pPr>
          </w:p>
        </w:tc>
      </w:tr>
    </w:tbl>
    <w:p>
      <w:pPr>
        <w:spacing w:line="540" w:lineRule="exact"/>
        <w:ind w:firstLine="315" w:firstLineChars="150"/>
        <w:rPr>
          <w:color w:val="000000"/>
          <w:szCs w:val="21"/>
        </w:rPr>
      </w:pPr>
      <w:r>
        <w:rPr>
          <w:color w:val="000000"/>
          <w:szCs w:val="21"/>
        </w:rPr>
        <w:t xml:space="preserve"> </w:t>
      </w:r>
      <w:r>
        <w:rPr>
          <w:rFonts w:hAnsi="宋体"/>
          <w:color w:val="000000"/>
          <w:szCs w:val="21"/>
        </w:rPr>
        <w:t>注：请于</w:t>
      </w:r>
      <w:r>
        <w:rPr>
          <w:rFonts w:hint="eastAsia"/>
          <w:color w:val="000000"/>
          <w:szCs w:val="21"/>
          <w:lang w:val="en-US" w:eastAsia="zh-CN"/>
        </w:rPr>
        <w:t>6</w:t>
      </w:r>
      <w:r>
        <w:rPr>
          <w:rFonts w:hAnsi="宋体"/>
          <w:color w:val="000000"/>
          <w:szCs w:val="21"/>
        </w:rPr>
        <w:t>月</w:t>
      </w:r>
      <w:r>
        <w:rPr>
          <w:rFonts w:hint="eastAsia"/>
          <w:color w:val="000000"/>
          <w:szCs w:val="21"/>
          <w:lang w:val="en-US" w:eastAsia="zh-CN"/>
        </w:rPr>
        <w:t>10</w:t>
      </w:r>
      <w:r>
        <w:rPr>
          <w:rFonts w:hAnsi="宋体"/>
          <w:color w:val="000000"/>
          <w:szCs w:val="21"/>
        </w:rPr>
        <w:t>日前将此表传至</w:t>
      </w:r>
      <w:r>
        <w:rPr>
          <w:rFonts w:hint="eastAsia"/>
          <w:color w:val="000000"/>
          <w:szCs w:val="21"/>
          <w:lang w:val="en-US" w:eastAsia="zh-CN"/>
        </w:rPr>
        <w:t>pdsgysy</w:t>
      </w:r>
      <w:r>
        <w:rPr>
          <w:color w:val="000000"/>
          <w:szCs w:val="21"/>
        </w:rPr>
        <w:t xml:space="preserve">@163.com </w:t>
      </w:r>
    </w:p>
    <w:p>
      <w:pPr>
        <w:widowControl/>
        <w:spacing w:line="560" w:lineRule="exact"/>
        <w:rPr>
          <w:rFonts w:hint="eastAsia" w:ascii="方正小标宋简体" w:eastAsia="方正小标宋简体"/>
          <w:color w:val="000000"/>
          <w:sz w:val="44"/>
          <w:szCs w:val="44"/>
          <w:lang w:eastAsia="zh-CN"/>
        </w:rPr>
      </w:pPr>
      <w:r>
        <w:rPr>
          <w:rFonts w:hAnsi="黑体" w:eastAsia="黑体"/>
          <w:color w:val="000000"/>
          <w:sz w:val="32"/>
          <w:szCs w:val="32"/>
        </w:rPr>
        <w:t>附件</w:t>
      </w:r>
      <w:r>
        <w:rPr>
          <w:rFonts w:hint="eastAsia" w:hAnsi="黑体" w:eastAsia="黑体"/>
          <w:color w:val="000000"/>
          <w:sz w:val="32"/>
          <w:szCs w:val="32"/>
          <w:lang w:val="en-US" w:eastAsia="zh-CN"/>
        </w:rPr>
        <w:t>3</w:t>
      </w:r>
    </w:p>
    <w:p>
      <w:pPr>
        <w:spacing w:line="54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平顶山市城市管理局（市城市综合执法局）</w:t>
      </w:r>
    </w:p>
    <w:p>
      <w:pPr>
        <w:pStyle w:val="7"/>
        <w:ind w:left="0" w:leftChars="0" w:firstLine="0" w:firstLineChars="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w:t>
      </w:r>
      <w:r>
        <w:rPr>
          <w:rFonts w:hint="eastAsia" w:ascii="方正小标宋简体" w:hAnsi="仿宋_GB2312" w:eastAsia="方正小标宋简体"/>
          <w:color w:val="000000"/>
          <w:sz w:val="44"/>
          <w:szCs w:val="44"/>
        </w:rPr>
        <w:t>安全生产月</w:t>
      </w:r>
      <w:r>
        <w:rPr>
          <w:rFonts w:hint="eastAsia" w:ascii="方正小标宋简体" w:eastAsia="方正小标宋简体"/>
          <w:color w:val="000000"/>
          <w:sz w:val="44"/>
          <w:szCs w:val="44"/>
        </w:rPr>
        <w:t>”</w:t>
      </w:r>
      <w:r>
        <w:rPr>
          <w:rFonts w:hint="eastAsia" w:ascii="方正小标宋简体" w:hAnsi="仿宋_GB2312" w:eastAsia="方正小标宋简体"/>
          <w:color w:val="000000"/>
          <w:sz w:val="44"/>
          <w:szCs w:val="44"/>
        </w:rPr>
        <w:t>和</w:t>
      </w:r>
      <w:r>
        <w:rPr>
          <w:rFonts w:hint="eastAsia" w:ascii="方正小标宋简体" w:eastAsia="方正小标宋简体"/>
          <w:color w:val="000000"/>
          <w:sz w:val="44"/>
          <w:szCs w:val="44"/>
        </w:rPr>
        <w:t>“</w:t>
      </w:r>
      <w:r>
        <w:rPr>
          <w:rFonts w:hint="eastAsia" w:ascii="方正小标宋简体" w:hAnsi="仿宋_GB2312" w:eastAsia="方正小标宋简体"/>
          <w:color w:val="000000"/>
          <w:sz w:val="44"/>
          <w:szCs w:val="44"/>
        </w:rPr>
        <w:t>安全生产万里行</w:t>
      </w:r>
      <w:r>
        <w:rPr>
          <w:rFonts w:hint="eastAsia" w:ascii="方正小标宋简体" w:eastAsia="方正小标宋简体"/>
          <w:color w:val="000000"/>
          <w:sz w:val="44"/>
          <w:szCs w:val="44"/>
        </w:rPr>
        <w:t>”</w:t>
      </w:r>
      <w:r>
        <w:rPr>
          <w:rFonts w:hint="eastAsia" w:ascii="方正小标宋简体" w:hAnsi="仿宋_GB2312" w:eastAsia="方正小标宋简体"/>
          <w:color w:val="000000"/>
          <w:sz w:val="44"/>
          <w:szCs w:val="44"/>
        </w:rPr>
        <w:t>活动进展情况统计表</w:t>
      </w:r>
    </w:p>
    <w:p>
      <w:pPr>
        <w:pStyle w:val="7"/>
        <w:spacing w:after="0"/>
        <w:ind w:left="0" w:leftChars="0" w:firstLine="0" w:firstLineChars="0"/>
        <w:jc w:val="both"/>
        <w:rPr>
          <w:rFonts w:hint="default" w:eastAsia="宋体"/>
          <w:color w:val="000000"/>
          <w:sz w:val="21"/>
          <w:szCs w:val="21"/>
          <w:u w:val="single"/>
          <w:lang w:val="en-US" w:eastAsia="zh-CN"/>
        </w:rPr>
      </w:pPr>
      <w:r>
        <w:rPr>
          <w:rFonts w:hAnsi="宋体" w:eastAsia="宋体"/>
          <w:color w:val="000000"/>
          <w:sz w:val="21"/>
          <w:szCs w:val="21"/>
        </w:rPr>
        <w:t>填报单位（盖章）：</w:t>
      </w:r>
      <w:r>
        <w:rPr>
          <w:rFonts w:eastAsia="宋体"/>
          <w:color w:val="000000"/>
          <w:sz w:val="21"/>
          <w:szCs w:val="21"/>
          <w:u w:val="single"/>
        </w:rPr>
        <w:t xml:space="preserve">        </w:t>
      </w:r>
      <w:r>
        <w:rPr>
          <w:rFonts w:hAnsi="宋体" w:eastAsia="宋体"/>
          <w:color w:val="000000"/>
          <w:sz w:val="21"/>
          <w:szCs w:val="21"/>
          <w:u w:val="single"/>
        </w:rPr>
        <w:t>　</w:t>
      </w:r>
      <w:r>
        <w:rPr>
          <w:rFonts w:hint="eastAsia" w:hAnsi="宋体" w:eastAsia="宋体"/>
          <w:color w:val="000000"/>
          <w:sz w:val="21"/>
          <w:szCs w:val="21"/>
          <w:u w:val="single"/>
          <w:lang w:val="en-US" w:eastAsia="zh-CN"/>
        </w:rPr>
        <w:t xml:space="preserve">  </w:t>
      </w:r>
      <w:r>
        <w:rPr>
          <w:rFonts w:hAnsi="宋体" w:eastAsia="宋体"/>
          <w:color w:val="000000"/>
          <w:sz w:val="21"/>
          <w:szCs w:val="21"/>
          <w:u w:val="single"/>
        </w:rPr>
        <w:t>　　　　　</w:t>
      </w:r>
      <w:r>
        <w:rPr>
          <w:rFonts w:eastAsia="宋体"/>
          <w:color w:val="000000"/>
          <w:sz w:val="21"/>
          <w:szCs w:val="21"/>
          <w:u w:val="single"/>
        </w:rPr>
        <w:t xml:space="preserve">   </w:t>
      </w:r>
      <w:r>
        <w:rPr>
          <w:rFonts w:hint="eastAsia" w:eastAsia="宋体"/>
          <w:color w:val="000000"/>
          <w:sz w:val="21"/>
          <w:szCs w:val="21"/>
          <w:u w:val="single"/>
        </w:rPr>
        <w:t xml:space="preserve">   </w:t>
      </w:r>
      <w:r>
        <w:rPr>
          <w:rFonts w:hAnsi="宋体" w:eastAsia="宋体"/>
          <w:color w:val="000000"/>
          <w:sz w:val="21"/>
          <w:szCs w:val="21"/>
        </w:rPr>
        <w:t>联系人：</w:t>
      </w:r>
      <w:r>
        <w:rPr>
          <w:rFonts w:eastAsia="宋体"/>
          <w:color w:val="000000"/>
          <w:sz w:val="21"/>
          <w:szCs w:val="21"/>
          <w:u w:val="single"/>
        </w:rPr>
        <w:t xml:space="preserve">    </w:t>
      </w:r>
      <w:r>
        <w:rPr>
          <w:rFonts w:hAnsi="宋体" w:eastAsia="宋体"/>
          <w:color w:val="000000"/>
          <w:sz w:val="21"/>
          <w:szCs w:val="21"/>
          <w:u w:val="single"/>
        </w:rPr>
        <w:t>　</w:t>
      </w:r>
      <w:r>
        <w:rPr>
          <w:rFonts w:hint="eastAsia" w:hAnsi="宋体" w:eastAsia="宋体"/>
          <w:color w:val="000000"/>
          <w:sz w:val="21"/>
          <w:szCs w:val="21"/>
          <w:u w:val="single"/>
          <w:lang w:val="en-US" w:eastAsia="zh-CN"/>
        </w:rPr>
        <w:t xml:space="preserve">     </w:t>
      </w:r>
      <w:r>
        <w:rPr>
          <w:rFonts w:hAnsi="宋体" w:eastAsia="宋体"/>
          <w:color w:val="000000"/>
          <w:sz w:val="21"/>
          <w:szCs w:val="21"/>
          <w:u w:val="single"/>
        </w:rPr>
        <w:t>　</w:t>
      </w:r>
      <w:r>
        <w:rPr>
          <w:rFonts w:eastAsia="宋体"/>
          <w:color w:val="000000"/>
          <w:sz w:val="21"/>
          <w:szCs w:val="21"/>
          <w:u w:val="single"/>
        </w:rPr>
        <w:t xml:space="preserve"> </w:t>
      </w:r>
      <w:r>
        <w:rPr>
          <w:rFonts w:hint="eastAsia" w:eastAsia="宋体"/>
          <w:color w:val="000000"/>
          <w:sz w:val="21"/>
          <w:szCs w:val="21"/>
          <w:u w:val="single"/>
        </w:rPr>
        <w:t xml:space="preserve">    </w:t>
      </w:r>
      <w:r>
        <w:rPr>
          <w:rFonts w:hAnsi="宋体" w:eastAsia="宋体"/>
          <w:color w:val="000000"/>
          <w:sz w:val="21"/>
          <w:szCs w:val="21"/>
        </w:rPr>
        <w:t>电话：</w:t>
      </w:r>
      <w:r>
        <w:rPr>
          <w:rFonts w:eastAsia="宋体"/>
          <w:color w:val="000000"/>
          <w:sz w:val="21"/>
          <w:szCs w:val="21"/>
          <w:u w:val="single"/>
        </w:rPr>
        <w:t xml:space="preserve">  </w:t>
      </w:r>
      <w:r>
        <w:rPr>
          <w:rFonts w:hAnsi="宋体" w:eastAsia="宋体"/>
          <w:color w:val="000000"/>
          <w:sz w:val="21"/>
          <w:szCs w:val="21"/>
          <w:u w:val="single"/>
        </w:rPr>
        <w:t>　　</w:t>
      </w:r>
      <w:r>
        <w:rPr>
          <w:rFonts w:eastAsia="宋体"/>
          <w:color w:val="000000"/>
          <w:sz w:val="21"/>
          <w:szCs w:val="21"/>
          <w:u w:val="single"/>
        </w:rPr>
        <w:t xml:space="preserve">  </w:t>
      </w:r>
      <w:r>
        <w:rPr>
          <w:rFonts w:hint="eastAsia" w:eastAsia="宋体"/>
          <w:color w:val="000000"/>
          <w:sz w:val="21"/>
          <w:szCs w:val="21"/>
          <w:u w:val="single"/>
        </w:rPr>
        <w:t xml:space="preserve"> </w:t>
      </w:r>
      <w:r>
        <w:rPr>
          <w:rFonts w:hint="eastAsia" w:eastAsia="宋体"/>
          <w:color w:val="000000"/>
          <w:sz w:val="21"/>
          <w:szCs w:val="21"/>
          <w:u w:val="single"/>
          <w:lang w:val="en-US" w:eastAsia="zh-CN"/>
        </w:rPr>
        <w:t xml:space="preserve">   </w:t>
      </w:r>
      <w:r>
        <w:rPr>
          <w:rFonts w:hint="eastAsia" w:eastAsia="宋体"/>
          <w:color w:val="000000"/>
          <w:sz w:val="21"/>
          <w:szCs w:val="21"/>
          <w:u w:val="single"/>
        </w:rPr>
        <w:t xml:space="preserve">    </w:t>
      </w:r>
      <w:r>
        <w:rPr>
          <w:rFonts w:eastAsia="宋体"/>
          <w:color w:val="000000"/>
          <w:sz w:val="21"/>
          <w:szCs w:val="21"/>
          <w:u w:val="single"/>
        </w:rPr>
        <w:t xml:space="preserve"> </w:t>
      </w:r>
      <w:r>
        <w:rPr>
          <w:rFonts w:hAnsi="宋体" w:eastAsia="宋体"/>
          <w:color w:val="000000"/>
          <w:sz w:val="21"/>
          <w:szCs w:val="21"/>
        </w:rPr>
        <w:t>填报日期：</w:t>
      </w:r>
      <w:r>
        <w:rPr>
          <w:rFonts w:hint="eastAsia" w:hAnsi="宋体" w:eastAsia="宋体"/>
          <w:color w:val="000000"/>
          <w:sz w:val="21"/>
          <w:szCs w:val="21"/>
          <w:u w:val="single"/>
          <w:lang w:val="en-US" w:eastAsia="zh-CN"/>
        </w:rPr>
        <w:t xml:space="preserve">                              </w:t>
      </w:r>
    </w:p>
    <w:tbl>
      <w:tblPr>
        <w:tblStyle w:val="9"/>
        <w:tblpPr w:leftFromText="180" w:rightFromText="180" w:vertAnchor="text" w:horzAnchor="page" w:tblpX="1958" w:tblpY="942"/>
        <w:tblOverlap w:val="never"/>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95"/>
        <w:gridCol w:w="504"/>
        <w:gridCol w:w="4820"/>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gridSpan w:val="3"/>
            <w:tcBorders>
              <w:top w:val="single" w:color="auto" w:sz="4" w:space="0"/>
              <w:left w:val="single" w:color="auto" w:sz="4" w:space="0"/>
              <w:bottom w:val="single" w:color="auto" w:sz="4" w:space="0"/>
              <w:right w:val="single" w:color="auto" w:sz="4" w:space="0"/>
            </w:tcBorders>
            <w:noWrap w:val="0"/>
            <w:vAlign w:val="top"/>
          </w:tcPr>
          <w:p>
            <w:pPr>
              <w:pStyle w:val="7"/>
              <w:spacing w:after="0" w:line="34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活动项目</w:t>
            </w:r>
          </w:p>
        </w:tc>
        <w:tc>
          <w:tcPr>
            <w:tcW w:w="4820" w:type="dxa"/>
            <w:tcBorders>
              <w:top w:val="single" w:color="auto" w:sz="4" w:space="0"/>
              <w:left w:val="nil"/>
              <w:bottom w:val="single" w:color="auto" w:sz="4" w:space="0"/>
              <w:right w:val="single" w:color="auto" w:sz="4" w:space="0"/>
            </w:tcBorders>
            <w:noWrap w:val="0"/>
            <w:vAlign w:val="top"/>
          </w:tcPr>
          <w:p>
            <w:pPr>
              <w:pStyle w:val="7"/>
              <w:spacing w:after="0" w:line="34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内容要求</w:t>
            </w:r>
          </w:p>
        </w:tc>
        <w:tc>
          <w:tcPr>
            <w:tcW w:w="6234" w:type="dxa"/>
            <w:tcBorders>
              <w:top w:val="single" w:color="auto" w:sz="4" w:space="0"/>
              <w:left w:val="nil"/>
              <w:bottom w:val="single" w:color="auto" w:sz="4" w:space="0"/>
              <w:right w:val="single" w:color="auto" w:sz="4" w:space="0"/>
            </w:tcBorders>
            <w:noWrap w:val="0"/>
            <w:vAlign w:val="top"/>
          </w:tcPr>
          <w:p>
            <w:pPr>
              <w:pStyle w:val="7"/>
              <w:spacing w:after="0" w:line="34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Merge w:val="restart"/>
            <w:tcBorders>
              <w:top w:val="nil"/>
              <w:left w:val="single" w:color="auto" w:sz="4" w:space="0"/>
              <w:bottom w:val="single" w:color="auto" w:sz="4" w:space="0"/>
              <w:right w:val="single" w:color="auto" w:sz="4" w:space="0"/>
            </w:tcBorders>
            <w:noWrap w:val="0"/>
            <w:textDirection w:val="tbRlV"/>
            <w:vAlign w:val="top"/>
          </w:tcPr>
          <w:p>
            <w:pPr>
              <w:pStyle w:val="7"/>
              <w:spacing w:line="340" w:lineRule="exact"/>
              <w:ind w:left="-78" w:leftChars="-37" w:right="113" w:firstLine="58" w:firstLineChars="28"/>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“安全生产月”活动</w:t>
            </w:r>
          </w:p>
          <w:p>
            <w:pPr>
              <w:pStyle w:val="7"/>
              <w:spacing w:line="340" w:lineRule="exact"/>
              <w:ind w:left="-78" w:leftChars="-37" w:right="113" w:firstLine="58" w:firstLineChars="28"/>
              <w:jc w:val="center"/>
              <w:rPr>
                <w:rFonts w:hint="eastAsia" w:ascii="宋体" w:hAnsi="宋体" w:eastAsia="宋体" w:cs="宋体"/>
                <w:color w:val="000000"/>
                <w:sz w:val="21"/>
                <w:szCs w:val="21"/>
              </w:rPr>
            </w:pPr>
          </w:p>
        </w:tc>
        <w:tc>
          <w:tcPr>
            <w:tcW w:w="2299" w:type="dxa"/>
            <w:gridSpan w:val="2"/>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62" w:leftChars="-31" w:hanging="3"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举办“安全生产月”活动启动仪式</w:t>
            </w:r>
          </w:p>
        </w:tc>
        <w:tc>
          <w:tcPr>
            <w:tcW w:w="482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57" w:leftChars="-27" w:firstLine="468" w:firstLineChars="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启动仪式形式多样，参与范围广泛，效果良好。</w:t>
            </w:r>
          </w:p>
        </w:tc>
        <w:tc>
          <w:tcPr>
            <w:tcW w:w="623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57" w:leftChars="-27" w:firstLine="468" w:firstLineChars="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以（    ）等形式启动“安全生产月”活动（  ）场次。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noWrap w:val="0"/>
            <w:textDirection w:val="tbRlV"/>
            <w:vAlign w:val="center"/>
          </w:tcPr>
          <w:p>
            <w:pPr>
              <w:widowControl/>
              <w:spacing w:line="340" w:lineRule="exact"/>
              <w:ind w:left="113" w:right="113"/>
              <w:jc w:val="left"/>
              <w:rPr>
                <w:rFonts w:hint="eastAsia" w:ascii="宋体" w:hAnsi="宋体" w:eastAsia="宋体" w:cs="宋体"/>
                <w:color w:val="000000"/>
                <w:szCs w:val="21"/>
              </w:rPr>
            </w:pPr>
          </w:p>
        </w:tc>
        <w:tc>
          <w:tcPr>
            <w:tcW w:w="2299" w:type="dxa"/>
            <w:gridSpan w:val="2"/>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6" w:leftChars="0" w:hanging="6"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深入学习贯彻</w:t>
            </w:r>
          </w:p>
          <w:p>
            <w:pPr>
              <w:pStyle w:val="7"/>
              <w:keepNext w:val="0"/>
              <w:keepLines w:val="0"/>
              <w:pageBreakBefore w:val="0"/>
              <w:widowControl w:val="0"/>
              <w:kinsoku/>
              <w:wordWrap/>
              <w:overflowPunct/>
              <w:topLinePunct w:val="0"/>
              <w:autoSpaceDE/>
              <w:autoSpaceDN/>
              <w:bidi w:val="0"/>
              <w:adjustRightInd/>
              <w:snapToGrid/>
              <w:spacing w:after="0" w:line="300" w:lineRule="exact"/>
              <w:ind w:left="6" w:leftChars="0" w:hanging="6"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习近平总书记</w:t>
            </w:r>
          </w:p>
          <w:p>
            <w:pPr>
              <w:pStyle w:val="7"/>
              <w:keepNext w:val="0"/>
              <w:keepLines w:val="0"/>
              <w:pageBreakBefore w:val="0"/>
              <w:widowControl w:val="0"/>
              <w:kinsoku/>
              <w:wordWrap/>
              <w:overflowPunct/>
              <w:topLinePunct w:val="0"/>
              <w:autoSpaceDE/>
              <w:autoSpaceDN/>
              <w:bidi w:val="0"/>
              <w:adjustRightInd/>
              <w:snapToGrid/>
              <w:spacing w:after="0" w:line="300" w:lineRule="exact"/>
              <w:ind w:left="6" w:leftChars="0" w:hanging="6"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关于安全生产</w:t>
            </w:r>
          </w:p>
          <w:p>
            <w:pPr>
              <w:pStyle w:val="7"/>
              <w:keepNext w:val="0"/>
              <w:keepLines w:val="0"/>
              <w:pageBreakBefore w:val="0"/>
              <w:widowControl w:val="0"/>
              <w:kinsoku/>
              <w:wordWrap/>
              <w:overflowPunct/>
              <w:topLinePunct w:val="0"/>
              <w:autoSpaceDE/>
              <w:autoSpaceDN/>
              <w:bidi w:val="0"/>
              <w:adjustRightInd/>
              <w:snapToGrid/>
              <w:spacing w:after="0" w:line="300" w:lineRule="exact"/>
              <w:ind w:left="6" w:leftChars="0" w:hanging="6"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重要论述</w:t>
            </w:r>
          </w:p>
        </w:tc>
        <w:tc>
          <w:tcPr>
            <w:tcW w:w="482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57" w:leftChars="-27" w:firstLine="468" w:firstLineChars="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安排理论学习中心组专题学习；开展习近平总书记关于安全生产重要论述网络课堂培训；在报刊、广播、网络、新媒体等平台开设专栏专题。</w:t>
            </w:r>
          </w:p>
        </w:tc>
        <w:tc>
          <w:tcPr>
            <w:tcW w:w="623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安排理论学习中心组专题学习（    ）次，参与（  ）人次；</w:t>
            </w:r>
          </w:p>
          <w:p>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开展网络课堂培训（    ）场，参与（   ）人次；</w:t>
            </w:r>
          </w:p>
          <w:p>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在报刊、广播、网络、新媒体等平台开设专栏专题（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noWrap w:val="0"/>
            <w:textDirection w:val="tbRlV"/>
            <w:vAlign w:val="center"/>
          </w:tcPr>
          <w:p>
            <w:pPr>
              <w:widowControl/>
              <w:spacing w:line="340" w:lineRule="exact"/>
              <w:ind w:left="113" w:right="113"/>
              <w:jc w:val="left"/>
              <w:rPr>
                <w:rFonts w:hint="eastAsia" w:ascii="宋体" w:hAnsi="宋体" w:eastAsia="宋体" w:cs="宋体"/>
                <w:color w:val="000000"/>
                <w:szCs w:val="21"/>
              </w:rPr>
            </w:pPr>
          </w:p>
        </w:tc>
        <w:tc>
          <w:tcPr>
            <w:tcW w:w="2299" w:type="dxa"/>
            <w:gridSpan w:val="2"/>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6" w:leftChars="0" w:hanging="6"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开展“排查整治</w:t>
            </w:r>
          </w:p>
          <w:p>
            <w:pPr>
              <w:pStyle w:val="7"/>
              <w:keepNext w:val="0"/>
              <w:keepLines w:val="0"/>
              <w:pageBreakBefore w:val="0"/>
              <w:widowControl w:val="0"/>
              <w:kinsoku/>
              <w:wordWrap/>
              <w:overflowPunct/>
              <w:topLinePunct w:val="0"/>
              <w:autoSpaceDE/>
              <w:autoSpaceDN/>
              <w:bidi w:val="0"/>
              <w:adjustRightInd/>
              <w:snapToGrid/>
              <w:spacing w:after="0" w:line="300" w:lineRule="exact"/>
              <w:ind w:left="6" w:leftChars="0" w:hanging="6"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进行时”专题活动</w:t>
            </w:r>
          </w:p>
        </w:tc>
        <w:tc>
          <w:tcPr>
            <w:tcW w:w="482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57" w:leftChars="-27" w:firstLine="468" w:firstLineChars="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在媒体平台开设相关专栏专题，加强示范引领和警示教育；对涌现的先进典型和经验做法、成果，制作专题视频在电视栏目播放，在各类媒体平台发布；加强典型事故案例剖析，制作警示教育片，组织人员在线观看；开展各类安全生产隐患排查活动，对重点场所、关键环节安全风险隐患进行全面深入排查整治；积极举报风险隐患，排查安全违法违规行为。</w:t>
            </w:r>
          </w:p>
        </w:tc>
        <w:tc>
          <w:tcPr>
            <w:tcW w:w="623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在各类媒体开设专栏专题（   ）个；</w:t>
            </w:r>
          </w:p>
          <w:p>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制作先进典型、经验做法和成果等工作专题视频（   ）部；制作典型事故案例剖析警示教育片（    ）部，组织观看（    ）场，（   ）人次； </w:t>
            </w:r>
          </w:p>
          <w:p>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  ）个企业开展安全生产隐患排查活动，排查整治安全风险隐患（   ）个；排查安全违法违规行为（  ）次，举报风险隐患（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noWrap w:val="0"/>
            <w:textDirection w:val="tbRlV"/>
            <w:vAlign w:val="center"/>
          </w:tcPr>
          <w:p>
            <w:pPr>
              <w:widowControl/>
              <w:spacing w:line="340" w:lineRule="exact"/>
              <w:ind w:left="113" w:right="113"/>
              <w:jc w:val="left"/>
              <w:rPr>
                <w:rFonts w:hint="eastAsia" w:ascii="宋体" w:hAnsi="宋体" w:eastAsia="宋体" w:cs="宋体"/>
                <w:color w:val="000000"/>
                <w:szCs w:val="21"/>
              </w:rPr>
            </w:pPr>
          </w:p>
        </w:tc>
        <w:tc>
          <w:tcPr>
            <w:tcW w:w="2299" w:type="dxa"/>
            <w:gridSpan w:val="2"/>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59" w:leftChars="-31" w:hanging="6"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开设“安全生产</w:t>
            </w:r>
          </w:p>
          <w:p>
            <w:pPr>
              <w:pStyle w:val="7"/>
              <w:keepNext w:val="0"/>
              <w:keepLines w:val="0"/>
              <w:pageBreakBefore w:val="0"/>
              <w:widowControl w:val="0"/>
              <w:kinsoku/>
              <w:wordWrap/>
              <w:overflowPunct/>
              <w:topLinePunct w:val="0"/>
              <w:autoSpaceDE/>
              <w:autoSpaceDN/>
              <w:bidi w:val="0"/>
              <w:adjustRightInd/>
              <w:snapToGrid/>
              <w:spacing w:after="0" w:line="300" w:lineRule="exact"/>
              <w:ind w:left="-59" w:leftChars="-31" w:hanging="6"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大家谈”云课堂</w:t>
            </w:r>
          </w:p>
        </w:tc>
        <w:tc>
          <w:tcPr>
            <w:tcW w:w="482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57" w:leftChars="-27" w:firstLine="468" w:firstLineChars="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组织干部职工、企业员工参加“安全生产大家谈”云课堂学习；在电视台、政府网站和网络直播平台等各类媒体平台开展网络视频访谈、远程在线辅导和安全生产“公开课”“微课堂”“公益讲座”等线上直播活动。</w:t>
            </w:r>
          </w:p>
        </w:tc>
        <w:tc>
          <w:tcPr>
            <w:tcW w:w="623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组织干部职工、企业员工参加“安全生产大家谈”云课堂学习（      ）人次；</w:t>
            </w:r>
          </w:p>
          <w:p>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468" w:firstLineChars="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在媒体平台开展网络视频访谈（  ）场，远程在线辅导 （    ）场次，安全生产“公开课”“微课堂”“公益讲座”等线上直播活动（    ）场，参与总人数（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pStyle w:val="7"/>
              <w:spacing w:line="340" w:lineRule="exact"/>
              <w:ind w:left="-78" w:leftChars="-37" w:right="113" w:firstLine="58" w:firstLineChars="28"/>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“安全生产月”活动</w:t>
            </w:r>
          </w:p>
          <w:p>
            <w:pPr>
              <w:pStyle w:val="7"/>
              <w:spacing w:line="340" w:lineRule="exact"/>
              <w:ind w:left="-62" w:leftChars="-31" w:right="113" w:hanging="3" w:firstLineChars="0"/>
              <w:jc w:val="center"/>
              <w:rPr>
                <w:rFonts w:hint="eastAsia" w:ascii="宋体" w:hAnsi="宋体" w:eastAsia="宋体" w:cs="宋体"/>
                <w:color w:val="000000"/>
                <w:sz w:val="21"/>
                <w:szCs w:val="21"/>
              </w:rPr>
            </w:pPr>
          </w:p>
        </w:tc>
        <w:tc>
          <w:tcPr>
            <w:tcW w:w="2299" w:type="dxa"/>
            <w:gridSpan w:val="2"/>
            <w:tcBorders>
              <w:top w:val="single" w:color="auto" w:sz="4" w:space="0"/>
              <w:left w:val="nil"/>
              <w:bottom w:val="single" w:color="auto" w:sz="4" w:space="0"/>
              <w:right w:val="single" w:color="auto" w:sz="4" w:space="0"/>
            </w:tcBorders>
            <w:noWrap w:val="0"/>
            <w:vAlign w:val="center"/>
          </w:tcPr>
          <w:p>
            <w:pPr>
              <w:pStyle w:val="7"/>
              <w:spacing w:line="340" w:lineRule="exact"/>
              <w:ind w:left="-59" w:leftChars="-31" w:hanging="6"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开展网上“全国安全宣传咨询日”活动</w:t>
            </w:r>
          </w:p>
        </w:tc>
        <w:tc>
          <w:tcPr>
            <w:tcW w:w="4820" w:type="dxa"/>
            <w:tcBorders>
              <w:top w:val="single" w:color="auto" w:sz="4" w:space="0"/>
              <w:left w:val="nil"/>
              <w:bottom w:val="single" w:color="auto" w:sz="4" w:space="0"/>
              <w:right w:val="single" w:color="auto" w:sz="4" w:space="0"/>
            </w:tcBorders>
            <w:noWrap w:val="0"/>
            <w:vAlign w:val="center"/>
          </w:tcPr>
          <w:p>
            <w:pPr>
              <w:pStyle w:val="7"/>
              <w:spacing w:line="340" w:lineRule="exact"/>
              <w:ind w:left="-57" w:leftChars="-27" w:firstLine="468" w:firstLineChars="0"/>
              <w:rPr>
                <w:rFonts w:hint="eastAsia" w:ascii="宋体" w:hAnsi="宋体" w:eastAsia="宋体" w:cs="宋体"/>
                <w:color w:val="000000"/>
                <w:sz w:val="21"/>
                <w:szCs w:val="21"/>
              </w:rPr>
            </w:pPr>
            <w:r>
              <w:rPr>
                <w:rFonts w:hint="eastAsia" w:ascii="宋体" w:hAnsi="宋体" w:eastAsia="宋体" w:cs="宋体"/>
                <w:color w:val="000000"/>
                <w:kern w:val="0"/>
                <w:sz w:val="21"/>
                <w:szCs w:val="21"/>
              </w:rPr>
              <w:t>积极组织干部职工、企业员工参与线上“公众开放日”、安全体验场馆360全景示范展示、安全打榜直播答题、全国网上安全知识竞赛、抖音“我是安全明白人”话题、新浪微博“身边的安全谣言”话题等全国性活动；结合实际，利用各类媒体、网站、手机应用程序等，创新开展直播互动、网上展厅、线上安全体验、H5安全互动游戏等活动。</w:t>
            </w:r>
          </w:p>
        </w:tc>
        <w:tc>
          <w:tcPr>
            <w:tcW w:w="6234" w:type="dxa"/>
            <w:tcBorders>
              <w:top w:val="single" w:color="auto" w:sz="4" w:space="0"/>
              <w:left w:val="nil"/>
              <w:bottom w:val="single" w:color="auto" w:sz="4" w:space="0"/>
              <w:right w:val="single" w:color="auto" w:sz="4" w:space="0"/>
            </w:tcBorders>
            <w:noWrap w:val="0"/>
            <w:vAlign w:val="center"/>
          </w:tcPr>
          <w:p>
            <w:pPr>
              <w:pStyle w:val="7"/>
              <w:spacing w:line="340" w:lineRule="exact"/>
              <w:ind w:left="-57" w:leftChars="-27" w:firstLine="471" w:firstLineChars="0"/>
              <w:rPr>
                <w:rFonts w:hint="eastAsia" w:ascii="宋体" w:hAnsi="宋体" w:eastAsia="宋体" w:cs="宋体"/>
                <w:color w:val="000000"/>
                <w:sz w:val="21"/>
                <w:szCs w:val="21"/>
              </w:rPr>
            </w:pPr>
            <w:r>
              <w:rPr>
                <w:rFonts w:hint="eastAsia" w:ascii="宋体" w:hAnsi="宋体" w:eastAsia="宋体" w:cs="宋体"/>
                <w:color w:val="000000"/>
                <w:kern w:val="0"/>
                <w:sz w:val="21"/>
                <w:szCs w:val="21"/>
              </w:rPr>
              <w:t>组织干部职工、企业员工参与线上“公众开放日”（    ）人次，观看安全体验场馆360全景示范展示（     ）人次，参与安全打榜直播（     ）人次，参与全国网上安全知识竞赛（    ）人次，参与抖音“我是安全明白人”话题（    ）条微视频，参与新浪微博“身边的安全谣言”话题（    ）条；开展线上“公众开放日”（    ）场次，参与（    ）人次；</w:t>
            </w:r>
          </w:p>
          <w:p>
            <w:pPr>
              <w:pStyle w:val="7"/>
              <w:spacing w:line="340" w:lineRule="exact"/>
              <w:ind w:left="-57" w:leftChars="-27" w:firstLine="471" w:firstLineChars="0"/>
              <w:rPr>
                <w:rFonts w:hint="eastAsia" w:ascii="宋体" w:hAnsi="宋体" w:eastAsia="宋体" w:cs="宋体"/>
                <w:color w:val="000000"/>
                <w:sz w:val="21"/>
                <w:szCs w:val="21"/>
              </w:rPr>
            </w:pPr>
            <w:r>
              <w:rPr>
                <w:rFonts w:hint="eastAsia" w:ascii="宋体" w:hAnsi="宋体" w:eastAsia="宋体" w:cs="宋体"/>
                <w:color w:val="000000"/>
                <w:kern w:val="0"/>
                <w:sz w:val="21"/>
                <w:szCs w:val="21"/>
              </w:rPr>
              <w:t>创新开展（           ）活动（   ）场，参与（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widowControl/>
              <w:spacing w:line="340" w:lineRule="exact"/>
              <w:ind w:left="113" w:right="113"/>
              <w:jc w:val="left"/>
              <w:rPr>
                <w:rFonts w:hint="eastAsia" w:ascii="宋体" w:hAnsi="宋体" w:eastAsia="宋体" w:cs="宋体"/>
                <w:color w:val="000000"/>
                <w:szCs w:val="21"/>
              </w:rPr>
            </w:pPr>
          </w:p>
        </w:tc>
        <w:tc>
          <w:tcPr>
            <w:tcW w:w="2299" w:type="dxa"/>
            <w:gridSpan w:val="2"/>
            <w:tcBorders>
              <w:top w:val="single" w:color="auto" w:sz="4" w:space="0"/>
              <w:left w:val="nil"/>
              <w:bottom w:val="single" w:color="auto" w:sz="4" w:space="0"/>
              <w:right w:val="single" w:color="auto" w:sz="4" w:space="0"/>
            </w:tcBorders>
            <w:noWrap w:val="0"/>
            <w:vAlign w:val="center"/>
          </w:tcPr>
          <w:p>
            <w:pPr>
              <w:pStyle w:val="7"/>
              <w:spacing w:line="340" w:lineRule="exact"/>
              <w:ind w:left="-59" w:leftChars="-31" w:hanging="6"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扎实推进安全宣传“五进”工作</w:t>
            </w:r>
          </w:p>
        </w:tc>
        <w:tc>
          <w:tcPr>
            <w:tcW w:w="4820" w:type="dxa"/>
            <w:tcBorders>
              <w:top w:val="single" w:color="auto" w:sz="4" w:space="0"/>
              <w:left w:val="nil"/>
              <w:bottom w:val="single" w:color="auto" w:sz="4" w:space="0"/>
              <w:right w:val="single" w:color="auto" w:sz="4" w:space="0"/>
            </w:tcBorders>
            <w:noWrap w:val="0"/>
            <w:vAlign w:val="center"/>
          </w:tcPr>
          <w:p>
            <w:pPr>
              <w:pStyle w:val="7"/>
              <w:spacing w:line="340" w:lineRule="exact"/>
              <w:ind w:left="-57" w:leftChars="-27" w:firstLine="468" w:firstLineChars="0"/>
              <w:rPr>
                <w:rFonts w:hint="eastAsia" w:ascii="宋体" w:hAnsi="宋体" w:eastAsia="宋体" w:cs="宋体"/>
                <w:color w:val="000000"/>
                <w:sz w:val="21"/>
                <w:szCs w:val="21"/>
              </w:rPr>
            </w:pPr>
            <w:r>
              <w:rPr>
                <w:rFonts w:hint="eastAsia" w:ascii="宋体" w:hAnsi="宋体" w:eastAsia="宋体" w:cs="宋体"/>
                <w:color w:val="000000"/>
                <w:kern w:val="0"/>
                <w:sz w:val="21"/>
                <w:szCs w:val="21"/>
              </w:rPr>
              <w:t>采取线上安全教育培训、专家指导服务、安全承诺等形式，开展安全宣传进企业活动；重点围绕特殊群体安全提示教育，开展安全宣传进农村活动；以组织“安全志愿者行动”为重点，开展安全宣传进工地活动；开展</w:t>
            </w:r>
            <w:r>
              <w:rPr>
                <w:rFonts w:hint="eastAsia" w:ascii="宋体" w:hAnsi="宋体" w:eastAsia="宋体" w:cs="宋体"/>
                <w:color w:val="000000"/>
                <w:sz w:val="21"/>
                <w:szCs w:val="21"/>
              </w:rPr>
              <w:t>“1+5”宣传教育活动。</w:t>
            </w:r>
          </w:p>
        </w:tc>
        <w:tc>
          <w:tcPr>
            <w:tcW w:w="6234" w:type="dxa"/>
            <w:tcBorders>
              <w:top w:val="single" w:color="auto" w:sz="4" w:space="0"/>
              <w:left w:val="nil"/>
              <w:bottom w:val="single" w:color="auto" w:sz="4" w:space="0"/>
              <w:right w:val="single" w:color="auto" w:sz="4" w:space="0"/>
            </w:tcBorders>
            <w:noWrap w:val="0"/>
            <w:vAlign w:val="center"/>
          </w:tcPr>
          <w:p>
            <w:pPr>
              <w:pStyle w:val="7"/>
              <w:spacing w:line="340" w:lineRule="exact"/>
              <w:ind w:left="-57" w:leftChars="-27" w:firstLine="471"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开展安全宣传进企业活动（   ）场，参与（   ）人；</w:t>
            </w:r>
          </w:p>
          <w:p>
            <w:pPr>
              <w:pStyle w:val="7"/>
              <w:spacing w:line="340" w:lineRule="exact"/>
              <w:ind w:left="-57" w:leftChars="-27" w:firstLine="471"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开展安全宣传进工地活动（   ）场，参与（   ）人；</w:t>
            </w:r>
          </w:p>
          <w:p>
            <w:pPr>
              <w:pStyle w:val="7"/>
              <w:spacing w:line="340" w:lineRule="exact"/>
              <w:ind w:left="-57" w:leftChars="-27" w:firstLine="471" w:firstLineChars="0"/>
              <w:rPr>
                <w:rFonts w:hint="eastAsia" w:ascii="宋体" w:hAnsi="宋体" w:eastAsia="宋体" w:cs="宋体"/>
                <w:color w:val="000000"/>
                <w:kern w:val="0"/>
                <w:sz w:val="21"/>
                <w:szCs w:val="21"/>
              </w:rPr>
            </w:pPr>
            <w:r>
              <w:rPr>
                <w:rFonts w:hint="eastAsia" w:ascii="宋体" w:hAnsi="宋体" w:eastAsia="宋体" w:cs="宋体"/>
                <w:color w:val="000000"/>
                <w:sz w:val="21"/>
                <w:szCs w:val="21"/>
              </w:rPr>
              <w:t>开展“1+5”宣传教育活动</w:t>
            </w:r>
            <w:r>
              <w:rPr>
                <w:rFonts w:hint="eastAsia" w:ascii="宋体" w:hAnsi="宋体" w:eastAsia="宋体" w:cs="宋体"/>
                <w:color w:val="000000"/>
                <w:kern w:val="0"/>
                <w:sz w:val="21"/>
                <w:szCs w:val="21"/>
              </w:rPr>
              <w:t>（   ）场，参与（   ）人；</w:t>
            </w:r>
          </w:p>
          <w:p>
            <w:pPr>
              <w:pStyle w:val="7"/>
              <w:spacing w:line="340" w:lineRule="exact"/>
              <w:ind w:left="-57" w:leftChars="-27" w:firstLine="471" w:firstLineChars="0"/>
              <w:rPr>
                <w:rFonts w:hint="eastAsia" w:ascii="宋体" w:hAnsi="宋体" w:eastAsia="宋体" w:cs="宋体"/>
                <w:color w:val="000000"/>
                <w:kern w:val="0"/>
                <w:sz w:val="21"/>
                <w:szCs w:val="21"/>
              </w:rPr>
            </w:pPr>
            <w:r>
              <w:rPr>
                <w:rFonts w:hint="eastAsia" w:ascii="宋体" w:hAnsi="宋体" w:eastAsia="宋体" w:cs="宋体"/>
                <w:color w:val="000000"/>
                <w:sz w:val="21"/>
                <w:szCs w:val="21"/>
              </w:rPr>
              <w:t>企业负责人讲授安全课</w:t>
            </w:r>
            <w:r>
              <w:rPr>
                <w:rFonts w:hint="eastAsia" w:ascii="宋体" w:hAnsi="宋体" w:eastAsia="宋体" w:cs="宋体"/>
                <w:color w:val="000000"/>
                <w:kern w:val="0"/>
                <w:sz w:val="21"/>
                <w:szCs w:val="21"/>
              </w:rPr>
              <w:t>（   ）场，参与（   ）人；</w:t>
            </w:r>
          </w:p>
          <w:p>
            <w:pPr>
              <w:pStyle w:val="7"/>
              <w:spacing w:line="340" w:lineRule="exact"/>
              <w:ind w:left="-57" w:leftChars="-27" w:firstLine="471"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开展安全“五项”活动（   ）场，参与（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pStyle w:val="7"/>
              <w:spacing w:line="340" w:lineRule="exact"/>
              <w:ind w:left="-62" w:leftChars="-31" w:right="113" w:hanging="3"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“安全生产万里行”活动</w:t>
            </w:r>
          </w:p>
        </w:tc>
        <w:tc>
          <w:tcPr>
            <w:tcW w:w="7119" w:type="dxa"/>
            <w:gridSpan w:val="3"/>
            <w:tcBorders>
              <w:top w:val="single" w:color="auto" w:sz="4" w:space="0"/>
              <w:left w:val="nil"/>
              <w:bottom w:val="single" w:color="auto" w:sz="4" w:space="0"/>
              <w:right w:val="single" w:color="auto" w:sz="4" w:space="0"/>
            </w:tcBorders>
            <w:noWrap w:val="0"/>
            <w:vAlign w:val="center"/>
          </w:tcPr>
          <w:p>
            <w:pPr>
              <w:pStyle w:val="7"/>
              <w:spacing w:line="340" w:lineRule="exact"/>
              <w:ind w:left="-67" w:leftChars="-32" w:firstLine="468"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紧紧围绕排查整治阶段工作要求，曝光突出问题和重大隐患，宣传推广经验做法，推动企业落实安全生产主体责任，不断强化安全生产工作。</w:t>
            </w:r>
          </w:p>
        </w:tc>
        <w:tc>
          <w:tcPr>
            <w:tcW w:w="6234" w:type="dxa"/>
            <w:vMerge w:val="restart"/>
            <w:tcBorders>
              <w:top w:val="nil"/>
              <w:left w:val="nil"/>
              <w:bottom w:val="single" w:color="auto" w:sz="4" w:space="0"/>
              <w:right w:val="single" w:color="auto" w:sz="4" w:space="0"/>
            </w:tcBorders>
            <w:noWrap w:val="0"/>
            <w:vAlign w:val="center"/>
          </w:tcPr>
          <w:p>
            <w:pPr>
              <w:pStyle w:val="7"/>
              <w:spacing w:line="340" w:lineRule="exact"/>
              <w:ind w:left="-57" w:leftChars="-27" w:firstLine="471"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组织记者采访报道（    ）次，宣传经验做法（   ）条，曝光问题（   ）条。</w:t>
            </w:r>
          </w:p>
          <w:p>
            <w:pPr>
              <w:pStyle w:val="7"/>
              <w:spacing w:line="340" w:lineRule="exact"/>
              <w:ind w:left="-57" w:leftChars="-27" w:firstLine="471"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开展“区域行”（    ）次、“专题行”（    ）次、“网上行”（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widowControl/>
              <w:spacing w:line="340" w:lineRule="exact"/>
              <w:ind w:left="113" w:right="113"/>
              <w:jc w:val="left"/>
              <w:rPr>
                <w:rFonts w:hint="eastAsia" w:ascii="宋体" w:hAnsi="宋体" w:eastAsia="宋体" w:cs="宋体"/>
                <w:color w:val="000000"/>
                <w:szCs w:val="21"/>
              </w:rPr>
            </w:pPr>
          </w:p>
        </w:tc>
        <w:tc>
          <w:tcPr>
            <w:tcW w:w="7119" w:type="dxa"/>
            <w:gridSpan w:val="3"/>
            <w:tcBorders>
              <w:top w:val="single" w:color="auto" w:sz="4" w:space="0"/>
              <w:left w:val="nil"/>
              <w:bottom w:val="single" w:color="auto" w:sz="4" w:space="0"/>
              <w:right w:val="single" w:color="auto" w:sz="4" w:space="0"/>
            </w:tcBorders>
            <w:noWrap w:val="0"/>
            <w:vAlign w:val="center"/>
          </w:tcPr>
          <w:p>
            <w:pPr>
              <w:pStyle w:val="7"/>
              <w:spacing w:line="340" w:lineRule="exact"/>
              <w:ind w:left="-57" w:leftChars="-27" w:firstLine="471" w:firstLineChars="0"/>
              <w:rPr>
                <w:rFonts w:hint="eastAsia" w:ascii="宋体" w:hAnsi="宋体" w:eastAsia="宋体" w:cs="宋体"/>
                <w:color w:val="000000"/>
                <w:sz w:val="21"/>
                <w:szCs w:val="21"/>
              </w:rPr>
            </w:pPr>
            <w:r>
              <w:rPr>
                <w:rFonts w:hint="eastAsia" w:ascii="宋体" w:hAnsi="宋体" w:eastAsia="宋体" w:cs="宋体"/>
                <w:color w:val="000000"/>
                <w:kern w:val="0"/>
                <w:sz w:val="21"/>
                <w:szCs w:val="21"/>
              </w:rPr>
              <w:t>围绕专项整治三年行动起步开局，组织记者采访报道排查治理安全隐患情况，反映整改措施，及时宣传经验做法；及时曝光重点行业领域、单位场所和关键环节安全风险隐患排查治理过程中发现的问题。</w:t>
            </w:r>
          </w:p>
          <w:p>
            <w:pPr>
              <w:pStyle w:val="7"/>
              <w:spacing w:line="340" w:lineRule="exact"/>
              <w:ind w:left="-57" w:leftChars="-27" w:firstLine="471" w:firstLineChars="0"/>
              <w:rPr>
                <w:rFonts w:hint="eastAsia" w:ascii="宋体" w:hAnsi="宋体" w:eastAsia="宋体" w:cs="宋体"/>
                <w:color w:val="000000"/>
                <w:sz w:val="21"/>
                <w:szCs w:val="21"/>
              </w:rPr>
            </w:pPr>
            <w:r>
              <w:rPr>
                <w:rFonts w:hint="eastAsia" w:ascii="宋体" w:hAnsi="宋体" w:eastAsia="宋体" w:cs="宋体"/>
                <w:color w:val="000000"/>
                <w:kern w:val="0"/>
                <w:sz w:val="21"/>
                <w:szCs w:val="21"/>
              </w:rPr>
              <w:t>开展“区域行”“专题行”“网上行”等宣传报道活动。</w:t>
            </w:r>
          </w:p>
        </w:tc>
        <w:tc>
          <w:tcPr>
            <w:tcW w:w="6234" w:type="dxa"/>
            <w:vMerge w:val="continue"/>
            <w:tcBorders>
              <w:top w:val="nil"/>
              <w:left w:val="nil"/>
              <w:bottom w:val="single" w:color="auto" w:sz="4" w:space="0"/>
              <w:right w:val="single" w:color="auto" w:sz="4" w:space="0"/>
            </w:tcBorders>
            <w:noWrap w:val="0"/>
            <w:vAlign w:val="center"/>
          </w:tcPr>
          <w:p>
            <w:pPr>
              <w:widowControl/>
              <w:spacing w:line="340" w:lineRule="exact"/>
              <w:jc w:val="lef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widowControl/>
              <w:spacing w:line="340" w:lineRule="exact"/>
              <w:ind w:left="113" w:right="113"/>
              <w:jc w:val="left"/>
              <w:rPr>
                <w:rFonts w:hint="eastAsia" w:ascii="宋体" w:hAnsi="宋体" w:eastAsia="宋体" w:cs="宋体"/>
                <w:color w:val="000000"/>
                <w:kern w:val="0"/>
                <w:szCs w:val="21"/>
              </w:rPr>
            </w:pPr>
          </w:p>
        </w:tc>
        <w:tc>
          <w:tcPr>
            <w:tcW w:w="7119" w:type="dxa"/>
            <w:gridSpan w:val="3"/>
            <w:tcBorders>
              <w:top w:val="single" w:color="auto" w:sz="4" w:space="0"/>
              <w:left w:val="nil"/>
              <w:bottom w:val="single" w:color="auto" w:sz="4" w:space="0"/>
              <w:right w:val="single" w:color="auto" w:sz="4" w:space="0"/>
            </w:tcBorders>
            <w:noWrap w:val="0"/>
            <w:vAlign w:val="center"/>
          </w:tcPr>
          <w:p>
            <w:pPr>
              <w:pStyle w:val="7"/>
              <w:spacing w:before="72" w:beforeLines="25" w:line="340" w:lineRule="exact"/>
              <w:ind w:left="-57" w:leftChars="-27" w:firstLine="471" w:firstLineChars="0"/>
              <w:rPr>
                <w:rFonts w:hint="eastAsia" w:ascii="宋体" w:hAnsi="宋体" w:eastAsia="宋体" w:cs="宋体"/>
                <w:color w:val="000000"/>
                <w:sz w:val="21"/>
                <w:szCs w:val="21"/>
              </w:rPr>
            </w:pPr>
            <w:r>
              <w:rPr>
                <w:rFonts w:hint="eastAsia" w:ascii="宋体" w:hAnsi="宋体" w:eastAsia="宋体" w:cs="宋体"/>
                <w:color w:val="000000"/>
                <w:kern w:val="0"/>
                <w:sz w:val="21"/>
                <w:szCs w:val="21"/>
              </w:rPr>
              <w:t>畅通群众和媒体监督渠道，利用电信、网络手段，发挥12350举报投诉热线和119、96119消防举报电话、微信微博等平台作用，鼓励引导广大群众举报重大隐患和违法违规行为；根据举报线索组织新闻媒体进行报道，及时开展案例警示教育。</w:t>
            </w:r>
          </w:p>
        </w:tc>
        <w:tc>
          <w:tcPr>
            <w:tcW w:w="6234" w:type="dxa"/>
            <w:tcBorders>
              <w:top w:val="single" w:color="auto" w:sz="4" w:space="0"/>
              <w:left w:val="nil"/>
              <w:bottom w:val="single" w:color="auto" w:sz="4" w:space="0"/>
              <w:right w:val="single" w:color="auto" w:sz="4" w:space="0"/>
            </w:tcBorders>
            <w:noWrap w:val="0"/>
            <w:vAlign w:val="center"/>
          </w:tcPr>
          <w:p>
            <w:pPr>
              <w:pStyle w:val="7"/>
              <w:spacing w:line="340" w:lineRule="exact"/>
              <w:ind w:left="-57" w:leftChars="-27" w:firstLine="468" w:firstLineChars="0"/>
              <w:rPr>
                <w:rFonts w:hint="eastAsia" w:ascii="宋体" w:hAnsi="宋体" w:eastAsia="宋体" w:cs="宋体"/>
                <w:color w:val="000000"/>
                <w:sz w:val="21"/>
                <w:szCs w:val="21"/>
              </w:rPr>
            </w:pPr>
            <w:r>
              <w:rPr>
                <w:rFonts w:hint="eastAsia" w:ascii="宋体" w:hAnsi="宋体" w:eastAsia="宋体" w:cs="宋体"/>
                <w:color w:val="000000"/>
                <w:kern w:val="0"/>
                <w:sz w:val="21"/>
                <w:szCs w:val="21"/>
              </w:rPr>
              <w:t>接收各类举报（    ）条次，奖励（    ）人，根据线索开展新闻报道（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pStyle w:val="7"/>
              <w:spacing w:line="340" w:lineRule="exact"/>
              <w:ind w:left="-78" w:leftChars="-37" w:right="113" w:firstLine="58" w:firstLineChars="28"/>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加强组织落实</w:t>
            </w:r>
          </w:p>
        </w:tc>
        <w:tc>
          <w:tcPr>
            <w:tcW w:w="1795" w:type="dxa"/>
            <w:tcBorders>
              <w:top w:val="single" w:color="auto" w:sz="4" w:space="0"/>
              <w:left w:val="nil"/>
              <w:bottom w:val="single" w:color="auto" w:sz="4" w:space="0"/>
              <w:right w:val="single" w:color="auto" w:sz="4" w:space="0"/>
            </w:tcBorders>
            <w:noWrap w:val="0"/>
            <w:vAlign w:val="center"/>
          </w:tcPr>
          <w:p>
            <w:pPr>
              <w:pStyle w:val="7"/>
              <w:spacing w:line="340" w:lineRule="exact"/>
              <w:ind w:left="-62" w:leftChars="-31" w:hanging="3"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加强组织领导</w:t>
            </w:r>
          </w:p>
        </w:tc>
        <w:tc>
          <w:tcPr>
            <w:tcW w:w="5324" w:type="dxa"/>
            <w:gridSpan w:val="2"/>
            <w:tcBorders>
              <w:top w:val="single" w:color="auto" w:sz="4" w:space="0"/>
              <w:left w:val="nil"/>
              <w:bottom w:val="single" w:color="auto" w:sz="4" w:space="0"/>
              <w:right w:val="single" w:color="auto" w:sz="4" w:space="0"/>
            </w:tcBorders>
            <w:noWrap w:val="0"/>
            <w:vAlign w:val="center"/>
          </w:tcPr>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kern w:val="0"/>
                <w:szCs w:val="21"/>
              </w:rPr>
              <w:t>将“安全生产月”和“安全生产万里行”活动纳入全年安全生产重点工作计划，与业务工作同谋划、同部署、同检查、同落实。要建立健全党委政府领导、多部门合作、有关方面协同参与的工作机制，明确分工、细化任务、精心落实。要加强活动组织实施，制定“路线图”“施工表”，明确责任单位、责任人和时间节点，做好人力、物力和相关经费等保障，确保活动有力有序有效开展。</w:t>
            </w:r>
          </w:p>
        </w:tc>
        <w:tc>
          <w:tcPr>
            <w:tcW w:w="6234" w:type="dxa"/>
            <w:tcBorders>
              <w:top w:val="single" w:color="auto" w:sz="4" w:space="0"/>
              <w:left w:val="nil"/>
              <w:bottom w:val="single" w:color="auto" w:sz="4" w:space="0"/>
              <w:right w:val="single" w:color="auto" w:sz="4" w:space="0"/>
            </w:tcBorders>
            <w:noWrap w:val="0"/>
            <w:vAlign w:val="center"/>
          </w:tcPr>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是否已将“安全生产月”和“安全生产万里行”活动纳入全年安全生产重点工作：□是 □否</w:t>
            </w:r>
          </w:p>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是否已建立健全党委政府领导、多部门合作、有关方面协同参与的工作机制：□是 □否</w:t>
            </w:r>
          </w:p>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是否已制定活动“路线图”“施工表”，明确责任单位、责任人和时间节点：□是 □否</w:t>
            </w:r>
          </w:p>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是否已做好人力、物力和相关经费等保障：□是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宋体" w:cs="宋体"/>
                <w:color w:val="000000"/>
                <w:szCs w:val="21"/>
              </w:rPr>
            </w:pPr>
          </w:p>
        </w:tc>
        <w:tc>
          <w:tcPr>
            <w:tcW w:w="1795" w:type="dxa"/>
            <w:tcBorders>
              <w:top w:val="single" w:color="auto" w:sz="4" w:space="0"/>
              <w:left w:val="nil"/>
              <w:bottom w:val="single" w:color="auto" w:sz="4" w:space="0"/>
              <w:right w:val="single" w:color="auto" w:sz="4" w:space="0"/>
            </w:tcBorders>
            <w:noWrap w:val="0"/>
            <w:vAlign w:val="center"/>
          </w:tcPr>
          <w:p>
            <w:pPr>
              <w:pStyle w:val="7"/>
              <w:spacing w:line="340" w:lineRule="exact"/>
              <w:ind w:left="-62" w:leftChars="-31" w:hanging="3"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营造浓厚氛围</w:t>
            </w:r>
          </w:p>
        </w:tc>
        <w:tc>
          <w:tcPr>
            <w:tcW w:w="5324" w:type="dxa"/>
            <w:gridSpan w:val="2"/>
            <w:tcBorders>
              <w:top w:val="single" w:color="auto" w:sz="4" w:space="0"/>
              <w:left w:val="nil"/>
              <w:bottom w:val="single" w:color="auto" w:sz="4" w:space="0"/>
              <w:right w:val="single" w:color="auto" w:sz="4" w:space="0"/>
            </w:tcBorders>
            <w:noWrap w:val="0"/>
            <w:vAlign w:val="center"/>
          </w:tcPr>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努力形成上下一体、协同联动的宣传合力，打造全媒体、矩阵式、立体化的安全生产报道格局。</w:t>
            </w:r>
          </w:p>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在企业、项目、公园、广场、街道等醒目位置，广泛张贴或悬挂安全标语、横幅、挂图等，在电子显示屏、广告屏持续滚动播放安全公益广告等。</w:t>
            </w:r>
          </w:p>
        </w:tc>
        <w:tc>
          <w:tcPr>
            <w:tcW w:w="6234" w:type="dxa"/>
            <w:tcBorders>
              <w:top w:val="single" w:color="auto" w:sz="4" w:space="0"/>
              <w:left w:val="nil"/>
              <w:bottom w:val="single" w:color="auto" w:sz="4" w:space="0"/>
              <w:right w:val="single" w:color="auto" w:sz="4" w:space="0"/>
            </w:tcBorders>
            <w:noWrap w:val="0"/>
            <w:vAlign w:val="center"/>
          </w:tcPr>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在中央新闻媒体发表安全月稿件（    ）篇；在地方媒体发表安全月稿件（    ）篇。</w:t>
            </w:r>
          </w:p>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在公共场所张贴、悬挂安全标语、横幅、挂图等（   ）个；制作播放安全公益广告等安全宣传品（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宋体" w:cs="宋体"/>
                <w:color w:val="000000"/>
                <w:szCs w:val="21"/>
              </w:rPr>
            </w:pPr>
          </w:p>
        </w:tc>
        <w:tc>
          <w:tcPr>
            <w:tcW w:w="1795" w:type="dxa"/>
            <w:tcBorders>
              <w:top w:val="single" w:color="auto" w:sz="4" w:space="0"/>
              <w:left w:val="nil"/>
              <w:bottom w:val="single" w:color="auto" w:sz="4" w:space="0"/>
              <w:right w:val="single" w:color="auto" w:sz="4" w:space="0"/>
            </w:tcBorders>
            <w:noWrap w:val="0"/>
            <w:vAlign w:val="center"/>
          </w:tcPr>
          <w:p>
            <w:pPr>
              <w:pStyle w:val="7"/>
              <w:spacing w:line="340" w:lineRule="exact"/>
              <w:ind w:left="-62" w:leftChars="-31" w:hanging="3"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确保活动实效</w:t>
            </w:r>
          </w:p>
        </w:tc>
        <w:tc>
          <w:tcPr>
            <w:tcW w:w="5324" w:type="dxa"/>
            <w:gridSpan w:val="2"/>
            <w:tcBorders>
              <w:top w:val="single" w:color="auto" w:sz="4" w:space="0"/>
              <w:left w:val="nil"/>
              <w:bottom w:val="single" w:color="auto" w:sz="4" w:space="0"/>
              <w:right w:val="single" w:color="auto" w:sz="4" w:space="0"/>
            </w:tcBorders>
            <w:noWrap w:val="0"/>
            <w:vAlign w:val="center"/>
          </w:tcPr>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与解决当前安全发展、安全生产中的热点难点问题相结合，与精准落实常态化疫情防控、复工复产安全防范、安全生产专项整治等各项工作相结合，与推动落实各方面安全生产责任相结合，突出重点行业领域和重点单位，着力解决重点难点问题，防止脱离实际、简单化部署，防止搞形式主义、走过场。</w:t>
            </w:r>
          </w:p>
        </w:tc>
        <w:tc>
          <w:tcPr>
            <w:tcW w:w="6234" w:type="dxa"/>
            <w:tcBorders>
              <w:top w:val="single" w:color="auto" w:sz="4" w:space="0"/>
              <w:left w:val="nil"/>
              <w:bottom w:val="single" w:color="auto" w:sz="4" w:space="0"/>
              <w:right w:val="single" w:color="auto" w:sz="4" w:space="0"/>
            </w:tcBorders>
            <w:noWrap w:val="0"/>
            <w:vAlign w:val="center"/>
          </w:tcPr>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是否与解决当前安全发展、安全生产中的热点难点问题相结合：□是 □否</w:t>
            </w:r>
          </w:p>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是否与精准落实常态化疫情防控、复工复产安全防范、安全生产专项整治等各项工作相结合：□是 □否</w:t>
            </w:r>
          </w:p>
          <w:p>
            <w:pPr>
              <w:spacing w:line="3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是否与推动落实各方面安全生产责任相结合，突出重点行业领域，着力解决重难点问题，防止脱离实际、简单化部署，防止搞形式主义、走过场：□是 □否</w:t>
            </w:r>
          </w:p>
        </w:tc>
      </w:tr>
    </w:tbl>
    <w:p>
      <w:pPr>
        <w:spacing w:line="540" w:lineRule="exact"/>
        <w:rPr>
          <w:rFonts w:hint="default"/>
          <w:color w:val="000000"/>
          <w:szCs w:val="21"/>
          <w:lang w:val="en-US" w:eastAsia="zh-CN"/>
        </w:rPr>
      </w:pPr>
    </w:p>
    <w:sectPr>
      <w:pgSz w:w="16838" w:h="11906" w:orient="landscape"/>
      <w:pgMar w:top="1576" w:right="1780" w:bottom="1576" w:left="15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exact"/>
      <w:rPr>
        <w:rFonts w:eastAsia="楷体_GB2312"/>
        <w:sz w:val="28"/>
        <w:szCs w:val="28"/>
        <w:u w:val="single"/>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2541F"/>
    <w:multiLevelType w:val="singleLevel"/>
    <w:tmpl w:val="2482541F"/>
    <w:lvl w:ilvl="0" w:tentative="0">
      <w:start w:val="1"/>
      <w:numFmt w:val="chineseCounting"/>
      <w:suff w:val="nothing"/>
      <w:lvlText w:val="%1、"/>
      <w:lvlJc w:val="left"/>
      <w:rPr>
        <w:rFonts w:hint="eastAsia"/>
      </w:rPr>
    </w:lvl>
  </w:abstractNum>
  <w:abstractNum w:abstractNumId="1">
    <w:nsid w:val="5D874CA9"/>
    <w:multiLevelType w:val="multilevel"/>
    <w:tmpl w:val="5D874CA9"/>
    <w:lvl w:ilvl="0" w:tentative="0">
      <w:start w:val="1"/>
      <w:numFmt w:val="decimal"/>
      <w:lvlText w:val="%1."/>
      <w:lvlJc w:val="left"/>
      <w:pPr>
        <w:ind w:left="992" w:hanging="360"/>
      </w:pPr>
      <w:rPr>
        <w:rFonts w:hint="default" w:ascii="Times New Roman" w:hAnsi="Times New Roman" w:cs="Times New Roman"/>
      </w:rPr>
    </w:lvl>
    <w:lvl w:ilvl="1" w:tentative="0">
      <w:start w:val="1"/>
      <w:numFmt w:val="lowerLetter"/>
      <w:lvlText w:val="%2)"/>
      <w:lvlJc w:val="left"/>
      <w:pPr>
        <w:ind w:left="1472" w:hanging="420"/>
      </w:pPr>
      <w:rPr>
        <w:rFonts w:hint="default" w:ascii="Times New Roman" w:hAnsi="Times New Roman" w:cs="Times New Roman"/>
      </w:rPr>
    </w:lvl>
    <w:lvl w:ilvl="2" w:tentative="0">
      <w:start w:val="1"/>
      <w:numFmt w:val="lowerRoman"/>
      <w:lvlText w:val="%3."/>
      <w:lvlJc w:val="right"/>
      <w:pPr>
        <w:ind w:left="1892" w:hanging="420"/>
      </w:pPr>
      <w:rPr>
        <w:rFonts w:hint="default" w:ascii="Times New Roman" w:hAnsi="Times New Roman" w:cs="Times New Roman"/>
      </w:rPr>
    </w:lvl>
    <w:lvl w:ilvl="3" w:tentative="0">
      <w:start w:val="1"/>
      <w:numFmt w:val="decimal"/>
      <w:lvlText w:val="%4."/>
      <w:lvlJc w:val="left"/>
      <w:pPr>
        <w:ind w:left="2312" w:hanging="420"/>
      </w:pPr>
      <w:rPr>
        <w:rFonts w:hint="default" w:ascii="Times New Roman" w:hAnsi="Times New Roman" w:cs="Times New Roman"/>
      </w:rPr>
    </w:lvl>
    <w:lvl w:ilvl="4" w:tentative="0">
      <w:start w:val="1"/>
      <w:numFmt w:val="lowerLetter"/>
      <w:lvlText w:val="%5)"/>
      <w:lvlJc w:val="left"/>
      <w:pPr>
        <w:ind w:left="2732" w:hanging="420"/>
      </w:pPr>
      <w:rPr>
        <w:rFonts w:hint="default" w:ascii="Times New Roman" w:hAnsi="Times New Roman" w:cs="Times New Roman"/>
      </w:rPr>
    </w:lvl>
    <w:lvl w:ilvl="5" w:tentative="0">
      <w:start w:val="1"/>
      <w:numFmt w:val="lowerRoman"/>
      <w:lvlText w:val="%6."/>
      <w:lvlJc w:val="right"/>
      <w:pPr>
        <w:ind w:left="3152" w:hanging="420"/>
      </w:pPr>
      <w:rPr>
        <w:rFonts w:hint="default" w:ascii="Times New Roman" w:hAnsi="Times New Roman" w:cs="Times New Roman"/>
      </w:rPr>
    </w:lvl>
    <w:lvl w:ilvl="6" w:tentative="0">
      <w:start w:val="1"/>
      <w:numFmt w:val="decimal"/>
      <w:lvlText w:val="%7."/>
      <w:lvlJc w:val="left"/>
      <w:pPr>
        <w:ind w:left="3572" w:hanging="420"/>
      </w:pPr>
      <w:rPr>
        <w:rFonts w:hint="default" w:ascii="Times New Roman" w:hAnsi="Times New Roman" w:cs="Times New Roman"/>
      </w:rPr>
    </w:lvl>
    <w:lvl w:ilvl="7" w:tentative="0">
      <w:start w:val="1"/>
      <w:numFmt w:val="lowerLetter"/>
      <w:lvlText w:val="%8)"/>
      <w:lvlJc w:val="left"/>
      <w:pPr>
        <w:ind w:left="3992" w:hanging="420"/>
      </w:pPr>
      <w:rPr>
        <w:rFonts w:hint="default" w:ascii="Times New Roman" w:hAnsi="Times New Roman" w:cs="Times New Roman"/>
      </w:rPr>
    </w:lvl>
    <w:lvl w:ilvl="8" w:tentative="0">
      <w:start w:val="1"/>
      <w:numFmt w:val="lowerRoman"/>
      <w:lvlText w:val="%9."/>
      <w:lvlJc w:val="right"/>
      <w:pPr>
        <w:ind w:left="4412"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76B56"/>
    <w:rsid w:val="0A771EE8"/>
    <w:rsid w:val="0C0674A9"/>
    <w:rsid w:val="20E34BB5"/>
    <w:rsid w:val="24476B56"/>
    <w:rsid w:val="279F7F0A"/>
    <w:rsid w:val="29756398"/>
    <w:rsid w:val="304D2D02"/>
    <w:rsid w:val="3059269D"/>
    <w:rsid w:val="309C63FC"/>
    <w:rsid w:val="30E92A06"/>
    <w:rsid w:val="342C07FF"/>
    <w:rsid w:val="3F9238A4"/>
    <w:rsid w:val="41E1523D"/>
    <w:rsid w:val="44DD09F5"/>
    <w:rsid w:val="4F20241A"/>
    <w:rsid w:val="57B91D6D"/>
    <w:rsid w:val="5C8444DC"/>
    <w:rsid w:val="5F583143"/>
    <w:rsid w:val="64C134B3"/>
    <w:rsid w:val="6DC24370"/>
    <w:rsid w:val="75061F35"/>
    <w:rsid w:val="7591358F"/>
    <w:rsid w:val="76AE47FC"/>
    <w:rsid w:val="7C17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6">
    <w:name w:val="Title"/>
    <w:basedOn w:val="1"/>
    <w:next w:val="1"/>
    <w:qFormat/>
    <w:uiPriority w:val="0"/>
    <w:pPr>
      <w:spacing w:before="240" w:after="60" w:line="640" w:lineRule="exact"/>
      <w:jc w:val="center"/>
      <w:outlineLvl w:val="0"/>
    </w:pPr>
    <w:rPr>
      <w:rFonts w:ascii="Cambria" w:hAnsi="Cambria" w:eastAsia="方正小标宋简体"/>
      <w:sz w:val="44"/>
      <w:szCs w:val="44"/>
    </w:rPr>
  </w:style>
  <w:style w:type="paragraph" w:styleId="7">
    <w:name w:val="Body Text First Indent 2"/>
    <w:basedOn w:val="2"/>
    <w:qFormat/>
    <w:uiPriority w:val="0"/>
    <w:pPr>
      <w:ind w:firstLine="420" w:firstLineChars="200"/>
    </w:pPr>
    <w:rPr>
      <w:rFonts w:eastAsia="仿宋_GB2312"/>
      <w:sz w:val="28"/>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List Paragraph"/>
    <w:basedOn w:val="1"/>
    <w:qFormat/>
    <w:uiPriority w:val="0"/>
    <w:pPr>
      <w:ind w:firstLine="420" w:firstLineChars="200"/>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2020-06-04T08:34:00Z</dcterms:created>
  <dc:creator>Song.Yuan.</dc:creator>
  <cp:lastModifiedBy>Song.Yuan.</cp:lastModifiedBy>
  <cp:lastPrinted>2020-06-08T01:40:00Z</cp:lastPrinted>
  <dcterms:modified xsi:type="dcterms:W3CDTF">2020-06-08T08:27:50Z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