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建筑垃圾管理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/>
          <w:bCs/>
          <w:sz w:val="32"/>
          <w:szCs w:val="32"/>
          <w:lang w:eastAsia="zh-CN"/>
        </w:rPr>
        <w:t>建筑垃圾管理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万元，资金已全部到位，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14万元。对全市垃圾处置审核工作使用，主要负责城市建筑垃圾处置工作，监督建设工程的开挖，统一安排渣土回填，对无证运输、偷倒、乱倒建筑垃圾的车辆依照规定处罚，按规定时间受纳、处置建筑垃圾、工程渣土，搞好填埋管理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全年预算数4万元，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1、数量指标：指标1:建筑垃圾办公室审核人员人数，年度指标值159人，实际完成值159人；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2、质量指标：指标1：建筑垃圾处理完成率，年度指标值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3、时效指标：指标1：全市垃圾处置审核工作时限，年度指标值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4、成本指标：指标1：建筑垃圾管理资金需求（购置办公用品、车辆维修燃油等，年度指标值≤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14万元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5、经济效益指标：指标1：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6、社会效益指标：指标1：对全市建筑垃圾、渣土车辆管理有效性，年度指标值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7、生态效益指标：指标2：建筑垃圾管理生态污染率降低，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、服务对象满意度指标：指标1:市民对城市管理满意度，年度指标值≥9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%，实际完成值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%；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万元已完成。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平顶山市城市管理局</w:t>
      </w:r>
    </w:p>
    <w:p>
      <w:pPr>
        <w:tabs>
          <w:tab w:val="left" w:pos="620"/>
        </w:tabs>
        <w:rPr>
          <w:rFonts w:hint="default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>建筑垃圾管理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E7B4B63"/>
    <w:rsid w:val="14AA2EF2"/>
    <w:rsid w:val="1556733B"/>
    <w:rsid w:val="19E40780"/>
    <w:rsid w:val="1A3C6C4F"/>
    <w:rsid w:val="1D8048F0"/>
    <w:rsid w:val="28CD5503"/>
    <w:rsid w:val="2C2935DB"/>
    <w:rsid w:val="332B6989"/>
    <w:rsid w:val="43914568"/>
    <w:rsid w:val="43CA7D08"/>
    <w:rsid w:val="4A3809DD"/>
    <w:rsid w:val="4BA014AA"/>
    <w:rsid w:val="506D0BFD"/>
    <w:rsid w:val="51971756"/>
    <w:rsid w:val="64392087"/>
    <w:rsid w:val="675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886</Words>
  <Characters>935</Characters>
  <Lines>3</Lines>
  <Paragraphs>1</Paragraphs>
  <TotalTime>0</TotalTime>
  <ScaleCrop>false</ScaleCrop>
  <LinksUpToDate>false</LinksUpToDate>
  <CharactersWithSpaces>1000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2022-04-24T03:36:39Z</cp:lastPrinted>
  <dcterms:modified xsi:type="dcterms:W3CDTF">2022-04-24T03:36:42Z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5509854773FA421680CCFA8F5C9F4018</vt:lpwstr>
  </property>
</Properties>
</file>